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59354">
      <w:pPr>
        <w:pStyle w:val="4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采购需求</w:t>
      </w:r>
    </w:p>
    <w:p w14:paraId="5FE9E78E">
      <w:pPr>
        <w:rPr>
          <w:rFonts w:hint="eastAsia"/>
          <w:lang w:val="en-US" w:eastAsia="zh-CN"/>
        </w:rPr>
      </w:pPr>
      <w:bookmarkStart w:id="0" w:name="_GoBack"/>
      <w:bookmarkEnd w:id="0"/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1413"/>
        <w:gridCol w:w="4564"/>
        <w:gridCol w:w="555"/>
        <w:gridCol w:w="558"/>
        <w:gridCol w:w="877"/>
      </w:tblGrid>
      <w:tr w14:paraId="32C38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" w:type="pct"/>
            <w:noWrap w:val="0"/>
            <w:vAlign w:val="center"/>
          </w:tcPr>
          <w:p w14:paraId="22213812">
            <w:pPr>
              <w:pStyle w:val="3"/>
              <w:rPr>
                <w:rFonts w:ascii="华文楷体" w:hAnsi="华文楷体" w:eastAsia="华文楷体" w:cs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 w:cs="华文楷体"/>
                <w:sz w:val="28"/>
                <w:szCs w:val="28"/>
              </w:rPr>
              <w:t>序号</w:t>
            </w:r>
          </w:p>
        </w:tc>
        <w:tc>
          <w:tcPr>
            <w:tcW w:w="839" w:type="pct"/>
            <w:noWrap w:val="0"/>
            <w:vAlign w:val="center"/>
          </w:tcPr>
          <w:p w14:paraId="69B2EA71">
            <w:pPr>
              <w:pStyle w:val="3"/>
              <w:jc w:val="center"/>
              <w:rPr>
                <w:rFonts w:ascii="华文楷体" w:hAnsi="华文楷体" w:eastAsia="华文楷体" w:cs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 w:cs="华文楷体"/>
                <w:sz w:val="28"/>
                <w:szCs w:val="28"/>
              </w:rPr>
              <w:t>货品名称</w:t>
            </w:r>
          </w:p>
        </w:tc>
        <w:tc>
          <w:tcPr>
            <w:tcW w:w="2686" w:type="pct"/>
            <w:noWrap w:val="0"/>
            <w:vAlign w:val="center"/>
          </w:tcPr>
          <w:p w14:paraId="3DD81A40">
            <w:pPr>
              <w:pStyle w:val="3"/>
              <w:jc w:val="center"/>
              <w:rPr>
                <w:rFonts w:ascii="华文楷体" w:hAnsi="华文楷体" w:eastAsia="华文楷体" w:cs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 w:cs="华文楷体"/>
                <w:sz w:val="28"/>
                <w:szCs w:val="28"/>
              </w:rPr>
              <w:t>规格及技术参数</w:t>
            </w:r>
          </w:p>
        </w:tc>
        <w:tc>
          <w:tcPr>
            <w:tcW w:w="336" w:type="pct"/>
            <w:noWrap w:val="0"/>
            <w:vAlign w:val="center"/>
          </w:tcPr>
          <w:p w14:paraId="08FB7C61">
            <w:pPr>
              <w:pStyle w:val="3"/>
              <w:jc w:val="center"/>
              <w:rPr>
                <w:rFonts w:ascii="华文楷体" w:hAnsi="华文楷体" w:eastAsia="华文楷体" w:cs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 w:cs="华文楷体"/>
                <w:sz w:val="28"/>
                <w:szCs w:val="28"/>
              </w:rPr>
              <w:t>单位</w:t>
            </w:r>
          </w:p>
        </w:tc>
        <w:tc>
          <w:tcPr>
            <w:tcW w:w="337" w:type="pct"/>
            <w:noWrap w:val="0"/>
            <w:vAlign w:val="center"/>
          </w:tcPr>
          <w:p w14:paraId="211025E5">
            <w:pPr>
              <w:pStyle w:val="3"/>
              <w:jc w:val="center"/>
              <w:rPr>
                <w:rFonts w:ascii="华文楷体" w:hAnsi="华文楷体" w:eastAsia="华文楷体" w:cs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 w:cs="华文楷体"/>
                <w:sz w:val="28"/>
                <w:szCs w:val="28"/>
              </w:rPr>
              <w:t>数量</w:t>
            </w:r>
          </w:p>
        </w:tc>
        <w:tc>
          <w:tcPr>
            <w:tcW w:w="462" w:type="pct"/>
            <w:noWrap w:val="0"/>
            <w:vAlign w:val="center"/>
          </w:tcPr>
          <w:p w14:paraId="1C907A06">
            <w:pPr>
              <w:pStyle w:val="3"/>
              <w:jc w:val="center"/>
              <w:rPr>
                <w:sz w:val="20"/>
                <w:szCs w:val="22"/>
              </w:rPr>
            </w:pPr>
            <w:r>
              <w:rPr>
                <w:rFonts w:hint="eastAsia" w:ascii="华文楷体" w:hAnsi="华文楷体" w:eastAsia="华文楷体" w:cs="华文楷体"/>
                <w:sz w:val="28"/>
                <w:szCs w:val="28"/>
                <w:lang w:val="en-US" w:eastAsia="zh-CN"/>
              </w:rPr>
              <w:t>预算</w:t>
            </w:r>
            <w:r>
              <w:rPr>
                <w:rFonts w:hint="eastAsia" w:ascii="华文楷体" w:hAnsi="华文楷体" w:eastAsia="华文楷体" w:cs="华文楷体"/>
                <w:sz w:val="28"/>
                <w:szCs w:val="28"/>
              </w:rPr>
              <w:t>总额</w:t>
            </w:r>
          </w:p>
          <w:p w14:paraId="3D3F0C6B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(</w:t>
            </w:r>
            <w:r>
              <w:rPr>
                <w:rFonts w:hint="eastAsia" w:ascii="宋体" w:hAnsi="宋体" w:eastAsia="宋体" w:cs="宋体"/>
                <w:sz w:val="20"/>
                <w:szCs w:val="22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  <w:sz w:val="20"/>
                <w:szCs w:val="22"/>
              </w:rPr>
              <w:t>)</w:t>
            </w:r>
          </w:p>
        </w:tc>
      </w:tr>
      <w:tr w14:paraId="16D4F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36" w:type="pct"/>
            <w:noWrap w:val="0"/>
            <w:vAlign w:val="center"/>
          </w:tcPr>
          <w:p w14:paraId="0EFAAAC2"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1</w:t>
            </w:r>
          </w:p>
        </w:tc>
        <w:tc>
          <w:tcPr>
            <w:tcW w:w="839" w:type="pct"/>
            <w:noWrap w:val="0"/>
            <w:vAlign w:val="center"/>
          </w:tcPr>
          <w:p w14:paraId="3C6BBE27">
            <w:pPr>
              <w:widowControl/>
              <w:jc w:val="center"/>
              <w:textAlignment w:val="center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VPN设备，数字认证设备和oracle数据库维保服务</w:t>
            </w:r>
          </w:p>
        </w:tc>
        <w:tc>
          <w:tcPr>
            <w:tcW w:w="2686" w:type="pct"/>
            <w:noWrap w:val="0"/>
            <w:vAlign w:val="center"/>
          </w:tcPr>
          <w:p w14:paraId="2443835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一、VPN设备维保服务，需运维的设备型号如下：2台vpn服务器（型号TopVPN 6000 ），服务要求：</w:t>
            </w:r>
          </w:p>
          <w:p w14:paraId="3FF1DED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1、硬件维保：硬件保修，设备故障处理，硬件免费更换服务；</w:t>
            </w:r>
          </w:p>
          <w:p w14:paraId="0ECC519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2、技术支持服务：需提供电话支持服务、远程登录支持服务、现场支持服务、应急响应服务，若远程无法处理，4小时内免费到现场提供技术支持；</w:t>
            </w:r>
          </w:p>
          <w:p w14:paraId="034A679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二、数字认证设备维保服务，需运维的设备型号如下：2台签名验签服务器（型号DSVS500）、2台时间戳服务器（型号TSS500）、2台证书管理服务器（型号CSS500）、1套数字证书服务系统（版本DSVS&amp;TSS-I），服务要求：</w:t>
            </w:r>
          </w:p>
          <w:p w14:paraId="74FC21F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1、硬件维保：硬件保修，设备故障处理，硬件免费更换服务；</w:t>
            </w:r>
          </w:p>
          <w:p w14:paraId="181D025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2、软件升级服务：软件版本更新、升级；</w:t>
            </w:r>
          </w:p>
          <w:p w14:paraId="2D465DD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3、技术支持服务：需提供电话支持服务、远程登录支持服务、现场支持服务、应急响应服务，若远程无法处理，4小时内免费到现场提供技术支持；</w:t>
            </w:r>
          </w:p>
          <w:p w14:paraId="1E8BC64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三、oracle数据库维保服务，提供Oracle数据库企业版（6 Processor）、Oracle Real Application Clusters(RAC)选件（6 Processor）和Oracle Partitioning分区选件（6 Processor）的维保服务，服务要求：</w:t>
            </w:r>
          </w:p>
          <w:p w14:paraId="727ABD3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1、为系统正常运行提供预防性维护、日常维护支持、网络调整支持等工作；</w:t>
            </w:r>
          </w:p>
          <w:p w14:paraId="60145C7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2、当系统发生故障时，对问题进行及时的处理和故障排除；</w:t>
            </w:r>
          </w:p>
          <w:p w14:paraId="1972A6E5">
            <w:pPr>
              <w:widowControl/>
              <w:jc w:val="center"/>
              <w:textAlignment w:val="bottom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3、如果出现紧急技术问题，具有相应资格的工程师应在1小时内予以答复，并在4小时内赶到现场进行处理；</w:t>
            </w:r>
          </w:p>
        </w:tc>
        <w:tc>
          <w:tcPr>
            <w:tcW w:w="336" w:type="pct"/>
            <w:noWrap w:val="0"/>
            <w:vAlign w:val="center"/>
          </w:tcPr>
          <w:p w14:paraId="3C554C82">
            <w:pPr>
              <w:widowControl/>
              <w:jc w:val="center"/>
              <w:textAlignment w:val="top"/>
              <w:rPr>
                <w:rFonts w:hint="eastAsia" w:eastAsiaTheme="minorEastAsia"/>
                <w:sz w:val="22"/>
                <w:lang w:eastAsia="zh-CN"/>
              </w:rPr>
            </w:pPr>
            <w:r>
              <w:rPr>
                <w:rFonts w:hint="eastAsia"/>
                <w:sz w:val="22"/>
                <w:lang w:eastAsia="zh-CN"/>
              </w:rPr>
              <w:t>年</w:t>
            </w:r>
          </w:p>
        </w:tc>
        <w:tc>
          <w:tcPr>
            <w:tcW w:w="337" w:type="pct"/>
            <w:noWrap w:val="0"/>
            <w:vAlign w:val="center"/>
          </w:tcPr>
          <w:p w14:paraId="60799DBF">
            <w:pPr>
              <w:widowControl/>
              <w:jc w:val="center"/>
              <w:textAlignment w:val="top"/>
              <w:rPr>
                <w:rFonts w:hint="eastAsia" w:eastAsiaTheme="minorEastAsia"/>
                <w:sz w:val="22"/>
                <w:lang w:val="en-US" w:eastAsia="zh-CN"/>
              </w:rPr>
            </w:pPr>
            <w:r>
              <w:rPr>
                <w:rFonts w:hint="eastAsia"/>
                <w:sz w:val="22"/>
                <w:lang w:val="en-US" w:eastAsia="zh-CN"/>
              </w:rPr>
              <w:t>1</w:t>
            </w:r>
          </w:p>
        </w:tc>
        <w:tc>
          <w:tcPr>
            <w:tcW w:w="462" w:type="pct"/>
            <w:vMerge w:val="restart"/>
            <w:noWrap w:val="0"/>
            <w:vAlign w:val="center"/>
          </w:tcPr>
          <w:p w14:paraId="6750AEDE">
            <w:pPr>
              <w:widowControl/>
              <w:jc w:val="center"/>
              <w:textAlignment w:val="center"/>
              <w:rPr>
                <w:rFonts w:hint="default" w:ascii="华文楷体" w:hAnsi="华文楷体" w:eastAsia="华文楷体" w:cs="华文楷体"/>
                <w:sz w:val="22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2"/>
                <w:lang w:val="en-US" w:eastAsia="zh-CN"/>
              </w:rPr>
              <w:t>594000</w:t>
            </w:r>
          </w:p>
        </w:tc>
      </w:tr>
      <w:tr w14:paraId="1D095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36" w:type="pct"/>
            <w:noWrap w:val="0"/>
            <w:vAlign w:val="center"/>
          </w:tcPr>
          <w:p w14:paraId="320B621A"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2</w:t>
            </w:r>
          </w:p>
        </w:tc>
        <w:tc>
          <w:tcPr>
            <w:tcW w:w="839" w:type="pct"/>
            <w:noWrap w:val="0"/>
            <w:vAlign w:val="center"/>
          </w:tcPr>
          <w:p w14:paraId="1B3833C6">
            <w:pPr>
              <w:widowControl/>
              <w:jc w:val="center"/>
              <w:textAlignment w:val="center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主机托管服务</w:t>
            </w:r>
          </w:p>
        </w:tc>
        <w:tc>
          <w:tcPr>
            <w:tcW w:w="2686" w:type="pct"/>
            <w:noWrap w:val="0"/>
            <w:vAlign w:val="center"/>
          </w:tcPr>
          <w:p w14:paraId="5966B2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机柜提供5KW电源。</w:t>
            </w:r>
          </w:p>
        </w:tc>
        <w:tc>
          <w:tcPr>
            <w:tcW w:w="336" w:type="pct"/>
            <w:noWrap w:val="0"/>
            <w:vAlign w:val="center"/>
          </w:tcPr>
          <w:p w14:paraId="6DEAAD64">
            <w:pPr>
              <w:widowControl/>
              <w:jc w:val="center"/>
              <w:textAlignment w:val="top"/>
              <w:rPr>
                <w:rFonts w:hint="eastAsia" w:eastAsiaTheme="minorEastAsia"/>
                <w:sz w:val="22"/>
                <w:lang w:eastAsia="zh-CN"/>
              </w:rPr>
            </w:pPr>
            <w:r>
              <w:rPr>
                <w:rFonts w:hint="eastAsia"/>
                <w:sz w:val="22"/>
                <w:lang w:eastAsia="zh-CN"/>
              </w:rPr>
              <w:t>年</w:t>
            </w:r>
          </w:p>
        </w:tc>
        <w:tc>
          <w:tcPr>
            <w:tcW w:w="337" w:type="pct"/>
            <w:noWrap w:val="0"/>
            <w:vAlign w:val="center"/>
          </w:tcPr>
          <w:p w14:paraId="5AF81580">
            <w:pPr>
              <w:widowControl/>
              <w:jc w:val="center"/>
              <w:textAlignment w:val="top"/>
              <w:rPr>
                <w:rFonts w:hint="eastAsia" w:eastAsiaTheme="minorEastAsia"/>
                <w:sz w:val="22"/>
                <w:lang w:val="en-US" w:eastAsia="zh-CN"/>
              </w:rPr>
            </w:pPr>
            <w:r>
              <w:rPr>
                <w:rFonts w:hint="eastAsia"/>
                <w:sz w:val="22"/>
                <w:lang w:val="en-US" w:eastAsia="zh-CN"/>
              </w:rPr>
              <w:t>1</w:t>
            </w:r>
          </w:p>
        </w:tc>
        <w:tc>
          <w:tcPr>
            <w:tcW w:w="462" w:type="pct"/>
            <w:vMerge w:val="continue"/>
            <w:noWrap w:val="0"/>
            <w:vAlign w:val="center"/>
          </w:tcPr>
          <w:p w14:paraId="7A57288D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6830C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336" w:type="pct"/>
            <w:noWrap w:val="0"/>
            <w:vAlign w:val="center"/>
          </w:tcPr>
          <w:p w14:paraId="06F11308">
            <w:pPr>
              <w:adjustRightInd w:val="0"/>
              <w:snapToGrid w:val="0"/>
              <w:spacing w:line="240" w:lineRule="exact"/>
              <w:jc w:val="center"/>
              <w:rPr>
                <w:rFonts w:hint="eastAsia" w:ascii="华文楷体" w:hAnsi="华文楷体" w:eastAsia="华文楷体" w:cs="华文楷体"/>
                <w:sz w:val="22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2"/>
                <w:lang w:val="en-US" w:eastAsia="zh-CN"/>
              </w:rPr>
              <w:t>3</w:t>
            </w:r>
          </w:p>
        </w:tc>
        <w:tc>
          <w:tcPr>
            <w:tcW w:w="839" w:type="pct"/>
            <w:noWrap w:val="0"/>
            <w:vAlign w:val="center"/>
          </w:tcPr>
          <w:p w14:paraId="23E3F345">
            <w:pPr>
              <w:widowControl/>
              <w:jc w:val="center"/>
              <w:textAlignment w:val="center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数据专线</w:t>
            </w:r>
          </w:p>
        </w:tc>
        <w:tc>
          <w:tcPr>
            <w:tcW w:w="2686" w:type="pct"/>
            <w:noWrap w:val="0"/>
            <w:vAlign w:val="center"/>
          </w:tcPr>
          <w:p w14:paraId="2C82F3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政务云机房至省疾控中心200M数据专线。</w:t>
            </w:r>
          </w:p>
        </w:tc>
        <w:tc>
          <w:tcPr>
            <w:tcW w:w="336" w:type="pct"/>
            <w:noWrap w:val="0"/>
            <w:vAlign w:val="center"/>
          </w:tcPr>
          <w:p w14:paraId="74A93189">
            <w:pPr>
              <w:widowControl/>
              <w:jc w:val="center"/>
              <w:textAlignment w:val="center"/>
              <w:rPr>
                <w:rFonts w:hint="eastAsia" w:eastAsiaTheme="minorEastAsia"/>
                <w:sz w:val="22"/>
                <w:lang w:eastAsia="zh-CN"/>
              </w:rPr>
            </w:pPr>
            <w:r>
              <w:rPr>
                <w:rFonts w:hint="eastAsia"/>
                <w:sz w:val="22"/>
                <w:lang w:eastAsia="zh-CN"/>
              </w:rPr>
              <w:t>年</w:t>
            </w:r>
          </w:p>
        </w:tc>
        <w:tc>
          <w:tcPr>
            <w:tcW w:w="337" w:type="pct"/>
            <w:noWrap w:val="0"/>
            <w:vAlign w:val="center"/>
          </w:tcPr>
          <w:p w14:paraId="6CC96704">
            <w:pPr>
              <w:widowControl/>
              <w:jc w:val="center"/>
              <w:textAlignment w:val="center"/>
              <w:rPr>
                <w:rFonts w:hint="eastAsia" w:eastAsiaTheme="minorEastAsia"/>
                <w:sz w:val="22"/>
                <w:lang w:val="en-US" w:eastAsia="zh-CN"/>
              </w:rPr>
            </w:pPr>
            <w:r>
              <w:rPr>
                <w:rFonts w:hint="eastAsia"/>
                <w:sz w:val="22"/>
                <w:lang w:val="en-US" w:eastAsia="zh-CN"/>
              </w:rPr>
              <w:t>1</w:t>
            </w:r>
          </w:p>
        </w:tc>
        <w:tc>
          <w:tcPr>
            <w:tcW w:w="462" w:type="pct"/>
            <w:vMerge w:val="continue"/>
            <w:noWrap w:val="0"/>
            <w:vAlign w:val="center"/>
          </w:tcPr>
          <w:p w14:paraId="7A5A6292">
            <w:pPr>
              <w:widowControl/>
              <w:jc w:val="center"/>
              <w:textAlignment w:val="center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6611D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36" w:type="pct"/>
            <w:noWrap w:val="0"/>
            <w:vAlign w:val="center"/>
          </w:tcPr>
          <w:p w14:paraId="4CFDFC0B"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4</w:t>
            </w:r>
          </w:p>
        </w:tc>
        <w:tc>
          <w:tcPr>
            <w:tcW w:w="839" w:type="pct"/>
            <w:noWrap w:val="0"/>
            <w:vAlign w:val="center"/>
          </w:tcPr>
          <w:p w14:paraId="3341A840">
            <w:pPr>
              <w:widowControl/>
              <w:jc w:val="center"/>
              <w:textAlignment w:val="center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互联网出口</w:t>
            </w:r>
          </w:p>
        </w:tc>
        <w:tc>
          <w:tcPr>
            <w:tcW w:w="2686" w:type="pct"/>
            <w:noWrap w:val="0"/>
            <w:vAlign w:val="center"/>
          </w:tcPr>
          <w:p w14:paraId="254415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互联网出口为独享带宽，带宽100M，用于接入各地市接种信息。</w:t>
            </w:r>
          </w:p>
        </w:tc>
        <w:tc>
          <w:tcPr>
            <w:tcW w:w="336" w:type="pct"/>
            <w:noWrap w:val="0"/>
            <w:vAlign w:val="center"/>
          </w:tcPr>
          <w:p w14:paraId="369A882C">
            <w:pPr>
              <w:widowControl/>
              <w:jc w:val="center"/>
              <w:textAlignment w:val="top"/>
              <w:rPr>
                <w:rFonts w:hint="eastAsia" w:eastAsiaTheme="minorEastAsia"/>
                <w:sz w:val="22"/>
                <w:lang w:eastAsia="zh-CN"/>
              </w:rPr>
            </w:pPr>
            <w:r>
              <w:rPr>
                <w:rFonts w:hint="eastAsia"/>
                <w:sz w:val="22"/>
                <w:lang w:eastAsia="zh-CN"/>
              </w:rPr>
              <w:t>年</w:t>
            </w:r>
          </w:p>
        </w:tc>
        <w:tc>
          <w:tcPr>
            <w:tcW w:w="337" w:type="pct"/>
            <w:noWrap w:val="0"/>
            <w:vAlign w:val="center"/>
          </w:tcPr>
          <w:p w14:paraId="1F419916">
            <w:pPr>
              <w:widowControl/>
              <w:jc w:val="center"/>
              <w:textAlignment w:val="top"/>
              <w:rPr>
                <w:rFonts w:hint="eastAsia" w:eastAsiaTheme="minorEastAsia"/>
                <w:sz w:val="22"/>
                <w:lang w:val="en-US" w:eastAsia="zh-CN"/>
              </w:rPr>
            </w:pPr>
            <w:r>
              <w:rPr>
                <w:rFonts w:hint="eastAsia"/>
                <w:sz w:val="22"/>
                <w:lang w:val="en-US" w:eastAsia="zh-CN"/>
              </w:rPr>
              <w:t>1</w:t>
            </w:r>
          </w:p>
        </w:tc>
        <w:tc>
          <w:tcPr>
            <w:tcW w:w="462" w:type="pct"/>
            <w:vMerge w:val="continue"/>
            <w:noWrap w:val="0"/>
            <w:vAlign w:val="center"/>
          </w:tcPr>
          <w:p w14:paraId="4CB030AF">
            <w:pPr>
              <w:widowControl/>
              <w:jc w:val="both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18080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36" w:type="pct"/>
            <w:noWrap w:val="0"/>
            <w:vAlign w:val="center"/>
          </w:tcPr>
          <w:p w14:paraId="0DFD03E1"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5</w:t>
            </w:r>
          </w:p>
        </w:tc>
        <w:tc>
          <w:tcPr>
            <w:tcW w:w="839" w:type="pct"/>
            <w:noWrap w:val="0"/>
            <w:vAlign w:val="center"/>
          </w:tcPr>
          <w:p w14:paraId="5D5DF57B">
            <w:pPr>
              <w:widowControl/>
              <w:jc w:val="center"/>
              <w:textAlignment w:val="center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等保测评服务</w:t>
            </w:r>
          </w:p>
        </w:tc>
        <w:tc>
          <w:tcPr>
            <w:tcW w:w="2686" w:type="pct"/>
            <w:noWrap w:val="0"/>
            <w:vAlign w:val="center"/>
          </w:tcPr>
          <w:p w14:paraId="0E8F59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等保测评服务：根据《中华人民共和国网络安全法》相关要求，依据《信息安全技术 网络安全等级保护基本要求（GB/T22239-2019）》对我单位免疫规划信息系统提供一次等保三级测评与备案工作。</w:t>
            </w:r>
          </w:p>
        </w:tc>
        <w:tc>
          <w:tcPr>
            <w:tcW w:w="336" w:type="pct"/>
            <w:noWrap w:val="0"/>
            <w:vAlign w:val="center"/>
          </w:tcPr>
          <w:p w14:paraId="1EDD6D71">
            <w:pPr>
              <w:widowControl/>
              <w:jc w:val="center"/>
              <w:textAlignment w:val="top"/>
              <w:rPr>
                <w:rFonts w:hint="eastAsia" w:eastAsiaTheme="minorEastAsia"/>
                <w:sz w:val="22"/>
                <w:lang w:eastAsia="zh-CN"/>
              </w:rPr>
            </w:pPr>
            <w:r>
              <w:rPr>
                <w:rFonts w:hint="eastAsia"/>
                <w:sz w:val="22"/>
                <w:lang w:eastAsia="zh-CN"/>
              </w:rPr>
              <w:t>次</w:t>
            </w:r>
          </w:p>
        </w:tc>
        <w:tc>
          <w:tcPr>
            <w:tcW w:w="337" w:type="pct"/>
            <w:noWrap w:val="0"/>
            <w:vAlign w:val="center"/>
          </w:tcPr>
          <w:p w14:paraId="5C9531D2">
            <w:pPr>
              <w:widowControl/>
              <w:jc w:val="center"/>
              <w:textAlignment w:val="top"/>
              <w:rPr>
                <w:rFonts w:hint="eastAsia" w:eastAsiaTheme="minorEastAsia"/>
                <w:sz w:val="22"/>
                <w:lang w:val="en-US" w:eastAsia="zh-CN"/>
              </w:rPr>
            </w:pPr>
            <w:r>
              <w:rPr>
                <w:rFonts w:hint="eastAsia"/>
                <w:sz w:val="22"/>
                <w:lang w:val="en-US" w:eastAsia="zh-CN"/>
              </w:rPr>
              <w:t>1</w:t>
            </w:r>
          </w:p>
        </w:tc>
        <w:tc>
          <w:tcPr>
            <w:tcW w:w="462" w:type="pct"/>
            <w:vMerge w:val="continue"/>
            <w:noWrap w:val="0"/>
            <w:vAlign w:val="center"/>
          </w:tcPr>
          <w:p w14:paraId="7F2CE00D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</w:tbl>
    <w:p w14:paraId="4548B003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E857CD"/>
    <w:rsid w:val="20117F78"/>
    <w:rsid w:val="2E0F39D8"/>
    <w:rsid w:val="4DE01F42"/>
    <w:rsid w:val="571E2E03"/>
    <w:rsid w:val="69E85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line="360" w:lineRule="auto"/>
      <w:ind w:firstLine="420"/>
    </w:pPr>
    <w:rPr>
      <w:rFonts w:ascii="宋体" w:hAnsi="宋体"/>
      <w:sz w:val="24"/>
    </w:rPr>
  </w:style>
  <w:style w:type="paragraph" w:styleId="3">
    <w:name w:val="Body Text"/>
    <w:basedOn w:val="1"/>
    <w:qFormat/>
    <w:uiPriority w:val="0"/>
    <w:pPr>
      <w:spacing w:after="120"/>
    </w:pPr>
  </w:style>
  <w:style w:type="character" w:customStyle="1" w:styleId="7">
    <w:name w:val="font21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746</Words>
  <Characters>904</Characters>
  <Lines>0</Lines>
  <Paragraphs>0</Paragraphs>
  <TotalTime>2</TotalTime>
  <ScaleCrop>false</ScaleCrop>
  <LinksUpToDate>false</LinksUpToDate>
  <CharactersWithSpaces>914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2025-05-14T08:16:00Z</dcterms:created>
  <dc:creator>灿</dc:creator>
  <cp:lastModifiedBy>微信用户</cp:lastModifiedBy>
  <dcterms:modified xsi:type="dcterms:W3CDTF">2025-11-25T02:33:58Z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F30C42B548BC4FEC8014144133D0E41F_11</vt:lpwstr>
  </property>
  <property fmtid="{D5CDD505-2E9C-101B-9397-08002B2CF9AE}" pid="4" name="KSOTemplateDocerSaveRecord">
    <vt:lpwstr>eyJoZGlkIjoiYzQxNzc2MDg1YTQyZmFkOTA0MzY4NWVlZTdhYjU5YjYiLCJ1c2VySWQiOiIxMzUyMzE0NjUxIn0=</vt:lpwstr>
  </property>
</Properties>
</file>