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10472" w:type="dxa"/>
        <w:tblInd w:w="-7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720"/>
        <w:gridCol w:w="5040"/>
        <w:gridCol w:w="1240"/>
        <w:gridCol w:w="904"/>
        <w:gridCol w:w="872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720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5040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1240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4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872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9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</w:t>
            </w:r>
          </w:p>
        </w:tc>
        <w:tc>
          <w:tcPr>
            <w:tcW w:w="1720" w:type="dxa"/>
            <w:noWrap w:val="0"/>
            <w:vAlign w:val="center"/>
          </w:tcPr>
          <w:p w14:paraId="3C6BBE27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尼帕病毒核酸检测试剂盒 (荧光PCR法)</w:t>
            </w:r>
          </w:p>
        </w:tc>
        <w:tc>
          <w:tcPr>
            <w:tcW w:w="5040" w:type="dxa"/>
            <w:noWrap w:val="0"/>
            <w:vAlign w:val="center"/>
          </w:tcPr>
          <w:p w14:paraId="37EB8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1、用途：用于血清、血液、脑脊液、鼻咽拭子、尿液等样本中尼帕病毒核酸的定性检测。</w:t>
            </w:r>
          </w:p>
          <w:p w14:paraId="6CCA8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2、规格：≥25反应/盒。</w:t>
            </w:r>
          </w:p>
          <w:p w14:paraId="60D44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3、探针类型：采用 Taqman 探针技术，试剂灵敏度高、特异性好、抗污染性强，内标系统可监控样本采集、提取及检测全过程，有效规避假性结果。</w:t>
            </w:r>
          </w:p>
          <w:p w14:paraId="7484E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4、检测通道：FAM通道、VIC通道。</w:t>
            </w:r>
          </w:p>
          <w:p w14:paraId="1B193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5、适用仪器：ABI 7500、QuantStudio™ 5、QuantStudio™ 7、Roche LightCycler®480、Bio-Rad CFX96™、上海宏石 SLAN-96P/S 荧光定量 PCR 仪，及其他符合国家相关标准的主流荧光定量PCR仪。</w:t>
            </w:r>
          </w:p>
          <w:p w14:paraId="291D9F3A">
            <w:pPr>
              <w:pStyle w:val="2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6、产品质保期：-20℃保存条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件下，到货后≥10个月。</w:t>
            </w:r>
          </w:p>
        </w:tc>
        <w:tc>
          <w:tcPr>
            <w:tcW w:w="1240" w:type="dxa"/>
            <w:noWrap w:val="0"/>
            <w:vAlign w:val="center"/>
          </w:tcPr>
          <w:p w14:paraId="3C55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25T/盒</w:t>
            </w:r>
          </w:p>
        </w:tc>
        <w:tc>
          <w:tcPr>
            <w:tcW w:w="904" w:type="dxa"/>
            <w:noWrap w:val="0"/>
            <w:vAlign w:val="center"/>
          </w:tcPr>
          <w:p w14:paraId="6079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2" w:type="dxa"/>
            <w:vMerge w:val="restart"/>
            <w:noWrap w:val="0"/>
            <w:vAlign w:val="center"/>
          </w:tcPr>
          <w:p w14:paraId="6750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1750</w:t>
            </w:r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96" w:type="dxa"/>
            <w:noWrap w:val="0"/>
            <w:vAlign w:val="center"/>
          </w:tcPr>
          <w:p w14:paraId="320B621A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1B3833C6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5040" w:type="dxa"/>
            <w:noWrap w:val="0"/>
            <w:vAlign w:val="center"/>
          </w:tcPr>
          <w:p w14:paraId="5966B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6DEAAD64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5AF81580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872" w:type="dxa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96" w:type="dxa"/>
            <w:noWrap w:val="0"/>
            <w:vAlign w:val="center"/>
          </w:tcPr>
          <w:p w14:paraId="06F11308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23E3F345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5040" w:type="dxa"/>
            <w:noWrap w:val="0"/>
            <w:vAlign w:val="center"/>
          </w:tcPr>
          <w:p w14:paraId="2C82F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74A93189">
            <w:pPr>
              <w:widowControl/>
              <w:jc w:val="center"/>
              <w:textAlignment w:val="center"/>
              <w:rPr>
                <w:sz w:val="2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6CC96704">
            <w:pPr>
              <w:widowControl/>
              <w:jc w:val="center"/>
              <w:textAlignment w:val="center"/>
              <w:rPr>
                <w:sz w:val="22"/>
              </w:rPr>
            </w:pPr>
          </w:p>
        </w:tc>
        <w:tc>
          <w:tcPr>
            <w:tcW w:w="872" w:type="dxa"/>
            <w:vMerge w:val="continue"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96" w:type="dxa"/>
            <w:noWrap w:val="0"/>
            <w:vAlign w:val="center"/>
          </w:tcPr>
          <w:p w14:paraId="4CFDFC0B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3341A840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5040" w:type="dxa"/>
            <w:noWrap w:val="0"/>
            <w:vAlign w:val="center"/>
          </w:tcPr>
          <w:p w14:paraId="25441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369A882C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1F419916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872" w:type="dxa"/>
            <w:vMerge w:val="continue"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808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96" w:type="dxa"/>
            <w:noWrap w:val="0"/>
            <w:vAlign w:val="center"/>
          </w:tcPr>
          <w:p w14:paraId="0DFD03E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5D5DF57B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</w:p>
        </w:tc>
        <w:tc>
          <w:tcPr>
            <w:tcW w:w="5040" w:type="dxa"/>
            <w:noWrap w:val="0"/>
            <w:vAlign w:val="center"/>
          </w:tcPr>
          <w:p w14:paraId="0E8F5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1EDD6D71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904" w:type="dxa"/>
            <w:noWrap w:val="0"/>
            <w:vAlign w:val="center"/>
          </w:tcPr>
          <w:p w14:paraId="5C9531D2">
            <w:pPr>
              <w:widowControl/>
              <w:jc w:val="center"/>
              <w:textAlignment w:val="top"/>
              <w:rPr>
                <w:sz w:val="22"/>
              </w:rPr>
            </w:pPr>
          </w:p>
        </w:tc>
        <w:tc>
          <w:tcPr>
            <w:tcW w:w="872" w:type="dxa"/>
            <w:vMerge w:val="continue"/>
            <w:noWrap w:val="0"/>
            <w:vAlign w:val="center"/>
          </w:tcPr>
          <w:p w14:paraId="7F2CE0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20117F78"/>
    <w:rsid w:val="28244B6B"/>
    <w:rsid w:val="57774DCA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28</Characters>
  <Lines>0</Lines>
  <Paragraphs>0</Paragraphs>
  <TotalTime>1</TotalTime>
  <ScaleCrop>false</ScaleCrop>
  <LinksUpToDate>false</LinksUpToDate>
  <CharactersWithSpaces>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乌龙茶</cp:lastModifiedBy>
  <dcterms:modified xsi:type="dcterms:W3CDTF">2026-03-11T09:24:27Z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B2C73D1FC7AD414A8366ECB1DE2C7E7A_13</vt:lpwstr>
  </property>
  <property fmtid="{D5CDD505-2E9C-101B-9397-08002B2CF9AE}" pid="4" name="KSOTemplateDocerSaveRecord">
    <vt:lpwstr>eyJoZGlkIjoiMmE2OTQwYTcwNmU4MjRhNjQxNTcyMjM2ZDg2ZWU3MGEiLCJ1c2VySWQiOiIzNjA3OTU5NzQifQ==</vt:lpwstr>
  </property>
</Properties>
</file>