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59354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采购需求</w:t>
      </w:r>
    </w:p>
    <w:p w14:paraId="5FE9E78E">
      <w:pPr>
        <w:rPr>
          <w:rFonts w:hint="eastAsia"/>
          <w:lang w:val="en-US" w:eastAsia="zh-CN"/>
        </w:rPr>
      </w:pPr>
    </w:p>
    <w:p w14:paraId="07F88341">
      <w:pPr>
        <w:spacing w:line="312" w:lineRule="auto"/>
        <w:rPr>
          <w:rFonts w:ascii="黑体" w:hAnsi="黑体" w:eastAsia="黑体" w:cs="黑体"/>
          <w:b/>
          <w:bCs/>
          <w:sz w:val="32"/>
          <w:szCs w:val="32"/>
        </w:rPr>
      </w:pPr>
    </w:p>
    <w:tbl>
      <w:tblPr>
        <w:tblStyle w:val="6"/>
        <w:tblW w:w="80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915"/>
        <w:gridCol w:w="2648"/>
        <w:gridCol w:w="964"/>
        <w:gridCol w:w="900"/>
        <w:gridCol w:w="1144"/>
      </w:tblGrid>
      <w:tr w14:paraId="32C3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  <w:noWrap w:val="0"/>
            <w:vAlign w:val="center"/>
          </w:tcPr>
          <w:p w14:paraId="22213812">
            <w:pPr>
              <w:pStyle w:val="3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序号</w:t>
            </w:r>
          </w:p>
        </w:tc>
        <w:tc>
          <w:tcPr>
            <w:tcW w:w="1915" w:type="dxa"/>
            <w:noWrap w:val="0"/>
            <w:vAlign w:val="center"/>
          </w:tcPr>
          <w:p w14:paraId="69B2EA7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货品名称</w:t>
            </w:r>
          </w:p>
        </w:tc>
        <w:tc>
          <w:tcPr>
            <w:tcW w:w="2648" w:type="dxa"/>
            <w:noWrap w:val="0"/>
            <w:vAlign w:val="center"/>
          </w:tcPr>
          <w:p w14:paraId="3DD81A40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规格及技术参数</w:t>
            </w:r>
          </w:p>
        </w:tc>
        <w:tc>
          <w:tcPr>
            <w:tcW w:w="964" w:type="dxa"/>
            <w:noWrap w:val="0"/>
            <w:vAlign w:val="center"/>
          </w:tcPr>
          <w:p w14:paraId="08FB7C6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单位</w:t>
            </w:r>
          </w:p>
        </w:tc>
        <w:tc>
          <w:tcPr>
            <w:tcW w:w="900" w:type="dxa"/>
            <w:noWrap w:val="0"/>
            <w:vAlign w:val="center"/>
          </w:tcPr>
          <w:p w14:paraId="211025E5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数量</w:t>
            </w:r>
          </w:p>
        </w:tc>
        <w:tc>
          <w:tcPr>
            <w:tcW w:w="1144" w:type="dxa"/>
            <w:noWrap w:val="0"/>
            <w:vAlign w:val="center"/>
          </w:tcPr>
          <w:p w14:paraId="1C907A06">
            <w:pPr>
              <w:pStyle w:val="3"/>
              <w:jc w:val="center"/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  <w:lang w:val="en-US" w:eastAsia="zh-CN"/>
              </w:rPr>
              <w:t>预算</w:t>
            </w: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总额</w:t>
            </w:r>
          </w:p>
          <w:p w14:paraId="3D3F0C6B"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eastAsia="宋体" w:cs="宋体"/>
              </w:rPr>
              <w:t>(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</w:rPr>
              <w:t>)</w:t>
            </w:r>
          </w:p>
        </w:tc>
      </w:tr>
      <w:tr w14:paraId="16D4F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0EFAAAC2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1</w:t>
            </w:r>
          </w:p>
        </w:tc>
        <w:tc>
          <w:tcPr>
            <w:tcW w:w="1915" w:type="dxa"/>
            <w:noWrap w:val="0"/>
            <w:vAlign w:val="center"/>
          </w:tcPr>
          <w:p w14:paraId="3C6BBE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离子检测器</w:t>
            </w:r>
          </w:p>
          <w:p w14:paraId="721BD70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lang w:val="en-US" w:eastAsia="zh-CN"/>
              </w:rPr>
              <w:t>A02321900</w:t>
            </w:r>
          </w:p>
        </w:tc>
        <w:tc>
          <w:tcPr>
            <w:tcW w:w="2648" w:type="dxa"/>
            <w:noWrap w:val="0"/>
            <w:vAlign w:val="center"/>
          </w:tcPr>
          <w:p w14:paraId="172716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bookmarkStart w:id="0" w:name="OLE_LINK2"/>
            <w:r>
              <w:rPr>
                <w:rFonts w:hint="eastAsia" w:ascii="仿宋" w:hAnsi="仿宋" w:eastAsia="仿宋" w:cs="仿宋"/>
                <w:sz w:val="22"/>
              </w:rPr>
              <w:t>★</w:t>
            </w:r>
            <w:bookmarkEnd w:id="0"/>
            <w:r>
              <w:rPr>
                <w:rFonts w:hint="eastAsia" w:ascii="仿宋" w:hAnsi="仿宋" w:eastAsia="仿宋" w:cs="仿宋"/>
                <w:sz w:val="22"/>
              </w:rPr>
              <w:t>3.1无机离子分析模块，包括双柱塞泵，高容量分离柱系统，脱气系统，温控柱箱，抑制器，控温电导池，电导检测器，全自动前处理模块连用接口，光谱质谱检测器连用接口。所有的流路均采用PEEK材料；</w:t>
            </w:r>
          </w:p>
          <w:p w14:paraId="3D68BE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3.2泵：化学惰性的非金属泵头，PEEK管路,适合于pH为0～14的淋洗液及反相有机溶剂。</w:t>
            </w:r>
          </w:p>
          <w:p w14:paraId="6A8CAF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3.2.1泵类型：双电机独立驱动串联柱塞泵（须提供制造商盖章确认的相关实物图作为佐证材料）</w:t>
            </w:r>
          </w:p>
          <w:p w14:paraId="7B146B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3.2.2最大压力：≥35 MPa</w:t>
            </w:r>
          </w:p>
          <w:p w14:paraId="5FB542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3.2.3流速范围：0.001～10.00mL/min</w:t>
            </w:r>
          </w:p>
          <w:p w14:paraId="46ADE8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3.2.4流量精度: ＜0.1%</w:t>
            </w:r>
          </w:p>
          <w:p w14:paraId="1799E5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#3.2.5泵头清洗装置:可自动清洗双柱塞泵头（须提供制造商盖章确认的相关实物图作为佐证材料）</w:t>
            </w:r>
          </w:p>
          <w:p w14:paraId="239A9E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#3.2.6泵所有部件含泵外壳、单向阀外壳、单向阀阀芯、管路等均需PEEK非金属材质</w:t>
            </w:r>
          </w:p>
          <w:p w14:paraId="56D3DA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3.3分离柱:高容量分离柱及相应的保护柱组成，pH 0-14的工作范围，100%兼容反相试剂,使用强酸强碱淋洗液</w:t>
            </w:r>
          </w:p>
          <w:p w14:paraId="720619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3.3.1配备高容量离子分离柱及保护柱 1套，一次进样完成常规元素和化合物的分析。</w:t>
            </w:r>
          </w:p>
          <w:p w14:paraId="3921AC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★3.3.2一针进样，完成氟、丙烯酸、氯乙酸、溴乙酸、氯、二氯乙酸、亚硝酸、二溴乙酸、溴、硝酸、三氯乙酸、氨甲基膦酸、硫酸、碘、高氯酸、磷酸、草甘膦共17种元素的检测。（须提供制造商盖章确认的相关色谱图图谱）</w:t>
            </w:r>
          </w:p>
          <w:p w14:paraId="1820D6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3.4  温控柱箱:</w:t>
            </w:r>
          </w:p>
          <w:p w14:paraId="23FEFF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3.4.1 温度范围: 室温+7 °C 至 80 °C</w:t>
            </w:r>
          </w:p>
          <w:p w14:paraId="54CFBC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3.4.2 温度稳定性: ±0.1 °C</w:t>
            </w:r>
          </w:p>
          <w:p w14:paraId="7F1A7D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3.5连续自动再生微膜抑制器：利用连续自动再生微膜抑制技术以降低淋洗液背景电导,无需外加硫酸，具有高容量，免维护，低背景电导，低噪声和稳定的基线</w:t>
            </w:r>
          </w:p>
          <w:p w14:paraId="0A264C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3.6 电导检测器：</w:t>
            </w:r>
          </w:p>
          <w:p w14:paraId="7CB877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3.6.1 采用32位ADC模拟/数字信号转换芯片，全量程自动转换，无需换档。（须提供制造商盖章确认的相关证明材料）</w:t>
            </w:r>
          </w:p>
          <w:p w14:paraId="7E4D07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3.6.2 检测分辨率: 0.001nS/cm</w:t>
            </w:r>
          </w:p>
          <w:p w14:paraId="1F3923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#3.6.3 量程: 0～100,000 µS/cm</w:t>
            </w:r>
          </w:p>
          <w:p w14:paraId="5DE77C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#3.6.4基线噪音：≤0.0001µS/cm（带色谱柱、抑制器正常工作时）（须提供省级或以上计量科学研究院检定证书）</w:t>
            </w:r>
          </w:p>
          <w:p w14:paraId="687B0A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#3.6.5最小检测浓度：Cl-为 0.0003µg/ml；Li+ 为 0.0003µg/ml。（须提供省级或以上计量科学研究院检定证书）</w:t>
            </w:r>
          </w:p>
          <w:p w14:paraId="416699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3.6.6温度范围: 室温+7℃  至80℃.</w:t>
            </w:r>
          </w:p>
          <w:p w14:paraId="0171AB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3.6.7测温精度: ≤0.001℃</w:t>
            </w:r>
          </w:p>
          <w:p w14:paraId="370A99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 xml:space="preserve">3.6.8 电导池耐压: &gt;10 MPa </w:t>
            </w:r>
          </w:p>
          <w:p w14:paraId="6D4EC1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3.6.9脉冲电压：电导池激励电压频率≥8000Hz。</w:t>
            </w:r>
          </w:p>
          <w:p w14:paraId="142D4A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3.7 自动进样器：</w:t>
            </w:r>
          </w:p>
          <w:p w14:paraId="17280E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3.7.1类型：X Y Z三维电机驱动的自动进样器。</w:t>
            </w:r>
          </w:p>
          <w:p w14:paraId="4F67DB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3.7.2定量方式：可选择满环进样（由定量环定量）和部分环进样（由内置的高精度注射泵定量）</w:t>
            </w:r>
          </w:p>
          <w:p w14:paraId="4FBFB4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3.7.3样品位数：≥120位（2mL样品瓶）</w:t>
            </w:r>
          </w:p>
          <w:p w14:paraId="600A91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3.7.4 进样量：1～2000 μL，进样量由软件控制并连续可调。</w:t>
            </w:r>
          </w:p>
          <w:p w14:paraId="3C4437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3.7.5单点自动稀释配制标准曲线，线性优于0.995</w:t>
            </w:r>
          </w:p>
          <w:p w14:paraId="5EC034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3.7.6重复性：&lt;0.2%</w:t>
            </w:r>
          </w:p>
          <w:p w14:paraId="2C7320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3.7.7交叉污染：&lt;0.01%</w:t>
            </w:r>
          </w:p>
          <w:p w14:paraId="26A94E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 xml:space="preserve">3.7.8全软件控制，自动记录样品列表，列表中包含样品名称、进样时间、进样位置、进样体积等信息。 </w:t>
            </w:r>
          </w:p>
          <w:p w14:paraId="581726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3.8工作站</w:t>
            </w:r>
          </w:p>
          <w:p w14:paraId="61905C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3.8.1工作站可完全控制整套仪器，设定所有参数，可以实时采集数据并显示谱图，采集完成后自动计算各组分的浓度。</w:t>
            </w:r>
          </w:p>
          <w:p w14:paraId="525144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#3.8.2 互动式界面，可同时显示样品列表、谱图、标准曲线、组分信息和定量结果；并且在列表中选择不同的样品或组分时，谱图和标准曲线也自动跟随变化。（须提供制造商盖章确认的软件界面截图证明）</w:t>
            </w:r>
          </w:p>
          <w:p w14:paraId="4D5752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3.8.3 批量处理样品数据功能：在样品列表中选择需处理的样品，可一键完成数据处理、一键生成报告。</w:t>
            </w:r>
          </w:p>
          <w:p w14:paraId="4B2656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3.8.4智能填充功能：在列表中，相同的参数信息只需输入一次，其他样品的参数可智能填充，无需手动多次重复输入；可填充的信息包括样品名的前缀后缀、样品位置、进样量、标准点浓度等信息。</w:t>
            </w:r>
          </w:p>
          <w:p w14:paraId="7B7B0A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#3.8.5具有审计追踪功能，自动记录数据的产生、修改、删除等过程和时间，并与相关操作人员对应。（须提供制造商盖章确认的相关软件截图作为佐证材料）</w:t>
            </w:r>
          </w:p>
          <w:p w14:paraId="668BB2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#3.9扩展功能：仪器可升级为能与原子荧光、ICPMS、UV/VIS、荧光检测器等多种设备联用，能升级为形态测试、极性荧光有机物测试等（须提供证明材料，其中至少须包括三家不同品牌的真实用户的联用案例、提供用户单位名称、联系方式、相关谱图等材料）。</w:t>
            </w:r>
          </w:p>
        </w:tc>
        <w:tc>
          <w:tcPr>
            <w:tcW w:w="964" w:type="dxa"/>
            <w:noWrap w:val="0"/>
            <w:vAlign w:val="center"/>
          </w:tcPr>
          <w:p w14:paraId="3C554C82">
            <w:pPr>
              <w:widowControl/>
              <w:jc w:val="center"/>
              <w:textAlignment w:val="center"/>
              <w:rPr>
                <w:rFonts w:hint="eastAsia" w:eastAsiaTheme="minorEastAsia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lang w:val="en-US" w:eastAsia="zh-CN"/>
              </w:rPr>
              <w:t>台</w:t>
            </w:r>
          </w:p>
        </w:tc>
        <w:tc>
          <w:tcPr>
            <w:tcW w:w="900" w:type="dxa"/>
            <w:noWrap w:val="0"/>
            <w:vAlign w:val="center"/>
          </w:tcPr>
          <w:p w14:paraId="60799DBF">
            <w:pPr>
              <w:widowControl/>
              <w:jc w:val="center"/>
              <w:textAlignment w:val="center"/>
              <w:rPr>
                <w:rFonts w:hint="eastAsia" w:eastAsiaTheme="minorEastAsia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lang w:val="en-US" w:eastAsia="zh-CN"/>
              </w:rPr>
              <w:t>1</w:t>
            </w:r>
          </w:p>
        </w:tc>
        <w:tc>
          <w:tcPr>
            <w:tcW w:w="1144" w:type="dxa"/>
            <w:vMerge w:val="restart"/>
            <w:noWrap w:val="0"/>
            <w:vAlign w:val="center"/>
          </w:tcPr>
          <w:p w14:paraId="6750AEDE">
            <w:pPr>
              <w:widowControl/>
              <w:jc w:val="center"/>
              <w:textAlignment w:val="center"/>
              <w:rPr>
                <w:rFonts w:hint="default" w:ascii="华文楷体" w:hAnsi="华文楷体" w:eastAsia="华文楷体" w:cs="华文楷体"/>
                <w:sz w:val="22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2"/>
                <w:lang w:val="en-US" w:eastAsia="zh-CN"/>
              </w:rPr>
              <w:t>369000</w:t>
            </w:r>
          </w:p>
        </w:tc>
      </w:tr>
      <w:tr w14:paraId="1D095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320B621A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2</w:t>
            </w:r>
          </w:p>
        </w:tc>
        <w:tc>
          <w:tcPr>
            <w:tcW w:w="1915" w:type="dxa"/>
            <w:noWrap w:val="0"/>
            <w:vAlign w:val="center"/>
          </w:tcPr>
          <w:p w14:paraId="1B3833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万分之一天平</w:t>
            </w:r>
          </w:p>
          <w:p w14:paraId="7B8E508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lang w:val="en-US" w:eastAsia="zh-CN"/>
              </w:rPr>
              <w:t>A02100601</w:t>
            </w:r>
          </w:p>
        </w:tc>
        <w:tc>
          <w:tcPr>
            <w:tcW w:w="2648" w:type="dxa"/>
            <w:noWrap w:val="0"/>
            <w:vAlign w:val="center"/>
          </w:tcPr>
          <w:p w14:paraId="79CFFE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1.五面全透明玻璃防风罩。具有全自动故障检测，线性四点校准，超载保护等应用程序，内置式下称吊钩。</w:t>
            </w:r>
          </w:p>
          <w:p w14:paraId="4C2DA9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2.具有计件、单位转换（米制克拉、金盎司等）、稳定度、全量程去皮、零点跟踪等多种功能，操作更简便可靠。</w:t>
            </w:r>
          </w:p>
          <w:p w14:paraId="2C68D9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3.内置RS232C接口，可直接连接计算机，打印机等外部设备。</w:t>
            </w:r>
          </w:p>
          <w:p w14:paraId="32C1D0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4.称量范围：0-100克</w:t>
            </w:r>
          </w:p>
          <w:p w14:paraId="5DFD9F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5.精度：±0.1mg</w:t>
            </w:r>
          </w:p>
          <w:p w14:paraId="2B01A6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6.工作空间高度240mm±10mm</w:t>
            </w:r>
          </w:p>
          <w:p w14:paraId="605D2B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7.校准方式：外部砝码校正。</w:t>
            </w:r>
          </w:p>
        </w:tc>
        <w:tc>
          <w:tcPr>
            <w:tcW w:w="964" w:type="dxa"/>
            <w:noWrap w:val="0"/>
            <w:vAlign w:val="center"/>
          </w:tcPr>
          <w:p w14:paraId="6DEAAD64">
            <w:pPr>
              <w:widowControl/>
              <w:jc w:val="center"/>
              <w:textAlignment w:val="center"/>
              <w:rPr>
                <w:rFonts w:hint="default" w:eastAsiaTheme="minorEastAsia"/>
                <w:sz w:val="22"/>
                <w:lang w:val="en-US" w:eastAsia="zh-CN"/>
              </w:rPr>
            </w:pPr>
            <w:bookmarkStart w:id="1" w:name="_GoBack"/>
            <w:bookmarkEnd w:id="1"/>
            <w:r>
              <w:rPr>
                <w:rFonts w:hint="eastAsia" w:ascii="仿宋" w:hAnsi="仿宋" w:eastAsia="仿宋" w:cs="仿宋"/>
                <w:sz w:val="22"/>
                <w:lang w:val="en-US" w:eastAsia="zh-CN"/>
              </w:rPr>
              <w:t>台</w:t>
            </w:r>
          </w:p>
        </w:tc>
        <w:tc>
          <w:tcPr>
            <w:tcW w:w="900" w:type="dxa"/>
            <w:noWrap w:val="0"/>
            <w:vAlign w:val="center"/>
          </w:tcPr>
          <w:p w14:paraId="5AF81580">
            <w:pPr>
              <w:widowControl/>
              <w:jc w:val="center"/>
              <w:textAlignment w:val="center"/>
              <w:rPr>
                <w:rFonts w:hint="eastAsia" w:eastAsiaTheme="minorEastAsia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lang w:val="en-US" w:eastAsia="zh-CN"/>
              </w:rPr>
              <w:t>1</w:t>
            </w:r>
          </w:p>
        </w:tc>
        <w:tc>
          <w:tcPr>
            <w:tcW w:w="1144" w:type="dxa"/>
            <w:vMerge w:val="continue"/>
            <w:noWrap w:val="0"/>
            <w:vAlign w:val="center"/>
          </w:tcPr>
          <w:p w14:paraId="7A57288D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830C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06F11308">
            <w:pPr>
              <w:adjustRightInd w:val="0"/>
              <w:snapToGrid w:val="0"/>
              <w:spacing w:line="240" w:lineRule="exact"/>
              <w:jc w:val="center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  <w:tc>
          <w:tcPr>
            <w:tcW w:w="1915" w:type="dxa"/>
            <w:noWrap w:val="0"/>
            <w:vAlign w:val="center"/>
          </w:tcPr>
          <w:p w14:paraId="23E3F345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</w:p>
        </w:tc>
        <w:tc>
          <w:tcPr>
            <w:tcW w:w="2648" w:type="dxa"/>
            <w:noWrap w:val="0"/>
            <w:vAlign w:val="center"/>
          </w:tcPr>
          <w:p w14:paraId="2C82F3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</w:p>
        </w:tc>
        <w:tc>
          <w:tcPr>
            <w:tcW w:w="964" w:type="dxa"/>
            <w:noWrap w:val="0"/>
            <w:vAlign w:val="center"/>
          </w:tcPr>
          <w:p w14:paraId="74A93189">
            <w:pPr>
              <w:widowControl/>
              <w:jc w:val="center"/>
              <w:textAlignment w:val="center"/>
              <w:rPr>
                <w:sz w:val="22"/>
              </w:rPr>
            </w:pPr>
          </w:p>
        </w:tc>
        <w:tc>
          <w:tcPr>
            <w:tcW w:w="900" w:type="dxa"/>
            <w:noWrap w:val="0"/>
            <w:vAlign w:val="center"/>
          </w:tcPr>
          <w:p w14:paraId="6CC96704">
            <w:pPr>
              <w:widowControl/>
              <w:jc w:val="center"/>
              <w:textAlignment w:val="center"/>
              <w:rPr>
                <w:sz w:val="22"/>
              </w:rPr>
            </w:pPr>
          </w:p>
        </w:tc>
        <w:tc>
          <w:tcPr>
            <w:tcW w:w="1144" w:type="dxa"/>
            <w:vMerge w:val="continue"/>
            <w:noWrap w:val="0"/>
            <w:vAlign w:val="center"/>
          </w:tcPr>
          <w:p w14:paraId="7A5A6292">
            <w:pPr>
              <w:widowControl/>
              <w:jc w:val="center"/>
              <w:textAlignment w:val="center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611D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4CFDFC0B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915" w:type="dxa"/>
            <w:noWrap w:val="0"/>
            <w:vAlign w:val="center"/>
          </w:tcPr>
          <w:p w14:paraId="3341A840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</w:p>
        </w:tc>
        <w:tc>
          <w:tcPr>
            <w:tcW w:w="2648" w:type="dxa"/>
            <w:noWrap w:val="0"/>
            <w:vAlign w:val="center"/>
          </w:tcPr>
          <w:p w14:paraId="254415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</w:p>
        </w:tc>
        <w:tc>
          <w:tcPr>
            <w:tcW w:w="964" w:type="dxa"/>
            <w:noWrap w:val="0"/>
            <w:vAlign w:val="center"/>
          </w:tcPr>
          <w:p w14:paraId="369A882C">
            <w:pPr>
              <w:widowControl/>
              <w:jc w:val="center"/>
              <w:textAlignment w:val="top"/>
              <w:rPr>
                <w:sz w:val="22"/>
              </w:rPr>
            </w:pPr>
          </w:p>
        </w:tc>
        <w:tc>
          <w:tcPr>
            <w:tcW w:w="900" w:type="dxa"/>
            <w:noWrap w:val="0"/>
            <w:vAlign w:val="center"/>
          </w:tcPr>
          <w:p w14:paraId="1F419916">
            <w:pPr>
              <w:widowControl/>
              <w:jc w:val="center"/>
              <w:textAlignment w:val="top"/>
              <w:rPr>
                <w:sz w:val="22"/>
              </w:rPr>
            </w:pPr>
          </w:p>
        </w:tc>
        <w:tc>
          <w:tcPr>
            <w:tcW w:w="1144" w:type="dxa"/>
            <w:vMerge w:val="continue"/>
            <w:noWrap w:val="0"/>
            <w:vAlign w:val="center"/>
          </w:tcPr>
          <w:p w14:paraId="4CB030AF">
            <w:pPr>
              <w:widowControl/>
              <w:jc w:val="both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18080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0DFD03E1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915" w:type="dxa"/>
            <w:noWrap w:val="0"/>
            <w:vAlign w:val="center"/>
          </w:tcPr>
          <w:p w14:paraId="5D5DF57B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</w:p>
        </w:tc>
        <w:tc>
          <w:tcPr>
            <w:tcW w:w="2648" w:type="dxa"/>
            <w:noWrap w:val="0"/>
            <w:vAlign w:val="center"/>
          </w:tcPr>
          <w:p w14:paraId="0E8F59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</w:p>
        </w:tc>
        <w:tc>
          <w:tcPr>
            <w:tcW w:w="964" w:type="dxa"/>
            <w:noWrap w:val="0"/>
            <w:vAlign w:val="center"/>
          </w:tcPr>
          <w:p w14:paraId="1EDD6D71">
            <w:pPr>
              <w:widowControl/>
              <w:jc w:val="center"/>
              <w:textAlignment w:val="top"/>
              <w:rPr>
                <w:sz w:val="22"/>
              </w:rPr>
            </w:pPr>
          </w:p>
        </w:tc>
        <w:tc>
          <w:tcPr>
            <w:tcW w:w="900" w:type="dxa"/>
            <w:noWrap w:val="0"/>
            <w:vAlign w:val="center"/>
          </w:tcPr>
          <w:p w14:paraId="5C9531D2">
            <w:pPr>
              <w:widowControl/>
              <w:jc w:val="center"/>
              <w:textAlignment w:val="top"/>
              <w:rPr>
                <w:sz w:val="22"/>
              </w:rPr>
            </w:pPr>
          </w:p>
        </w:tc>
        <w:tc>
          <w:tcPr>
            <w:tcW w:w="1144" w:type="dxa"/>
            <w:vMerge w:val="continue"/>
            <w:noWrap w:val="0"/>
            <w:vAlign w:val="center"/>
          </w:tcPr>
          <w:p w14:paraId="7F2CE00D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</w:tbl>
    <w:p w14:paraId="4548B003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857CD"/>
    <w:rsid w:val="040F3ECF"/>
    <w:rsid w:val="20117F78"/>
    <w:rsid w:val="3E6E4AEC"/>
    <w:rsid w:val="652E3325"/>
    <w:rsid w:val="69E8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footer"/>
    <w:basedOn w:val="1"/>
    <w:qFormat/>
    <w:uiPriority w:val="99"/>
    <w:pPr>
      <w:widowControl w:val="0"/>
      <w:autoSpaceDE/>
      <w:autoSpaceDN/>
      <w:spacing w:before="0" w:after="0" w:line="240" w:lineRule="auto"/>
      <w:ind w:left="0" w:firstLine="0"/>
      <w:jc w:val="both"/>
    </w:pPr>
    <w:rPr>
      <w:rFonts w:ascii="Times New Roman" w:eastAsia="宋体"/>
      <w:sz w:val="18"/>
    </w:rPr>
  </w:style>
  <w:style w:type="paragraph" w:styleId="5">
    <w:name w:val="Body Text First Indent"/>
    <w:basedOn w:val="3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character" w:customStyle="1" w:styleId="8">
    <w:name w:val="font21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1600</Words>
  <Characters>1938</Characters>
  <Lines>0</Lines>
  <Paragraphs>0</Paragraphs>
  <TotalTime>6</TotalTime>
  <ScaleCrop>false</ScaleCrop>
  <LinksUpToDate>false</LinksUpToDate>
  <CharactersWithSpaces>1979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2025-05-14T08:16:00Z</dcterms:created>
  <dc:creator>灿</dc:creator>
  <cp:lastModifiedBy>微信用户</cp:lastModifiedBy>
  <dcterms:modified xsi:type="dcterms:W3CDTF">2026-04-29T03:16:45Z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19BF10E6B2574EA9B272ABE61904F12A_13</vt:lpwstr>
  </property>
  <property fmtid="{D5CDD505-2E9C-101B-9397-08002B2CF9AE}" pid="4" name="KSOTemplateDocerSaveRecord">
    <vt:lpwstr>eyJoZGlkIjoiYzQxNzc2MDg1YTQyZmFkOTA0MzY4NWVlZTdhYjU5YjYiLCJ1c2VySWQiOiIxMzUyMzE0NjUxIn0=</vt:lpwstr>
  </property>
</Properties>
</file>