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2359354">
      <w:pPr>
        <w:pStyle w:val="2"/>
        <w:bidi w:val="0"/>
        <w:jc w:val="center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采购需求</w:t>
      </w:r>
    </w:p>
    <w:p w14:paraId="5FE9E78E">
      <w:pPr>
        <w:rPr>
          <w:rFonts w:hint="eastAsia"/>
          <w:lang w:val="en-US" w:eastAsia="zh-CN"/>
        </w:rPr>
      </w:pPr>
    </w:p>
    <w:p w14:paraId="07F88341">
      <w:pPr>
        <w:spacing w:line="312" w:lineRule="auto"/>
        <w:rPr>
          <w:rFonts w:ascii="黑体" w:hAnsi="黑体" w:eastAsia="黑体" w:cs="黑体"/>
          <w:b/>
          <w:bCs/>
          <w:sz w:val="32"/>
          <w:szCs w:val="32"/>
        </w:rPr>
      </w:pPr>
    </w:p>
    <w:tbl>
      <w:tblPr>
        <w:tblStyle w:val="5"/>
        <w:tblW w:w="808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16"/>
        <w:gridCol w:w="2139"/>
        <w:gridCol w:w="2530"/>
        <w:gridCol w:w="858"/>
        <w:gridCol w:w="819"/>
        <w:gridCol w:w="1225"/>
      </w:tblGrid>
      <w:tr w14:paraId="32C38B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16" w:type="dxa"/>
            <w:noWrap w:val="0"/>
            <w:vAlign w:val="center"/>
          </w:tcPr>
          <w:p w14:paraId="22213812">
            <w:pPr>
              <w:pStyle w:val="3"/>
              <w:rPr>
                <w:rFonts w:ascii="华文楷体" w:hAnsi="华文楷体" w:eastAsia="华文楷体" w:cs="华文楷体"/>
                <w:sz w:val="30"/>
                <w:szCs w:val="30"/>
              </w:rPr>
            </w:pPr>
            <w:r>
              <w:rPr>
                <w:rFonts w:hint="eastAsia" w:ascii="华文楷体" w:hAnsi="华文楷体" w:eastAsia="华文楷体" w:cs="华文楷体"/>
                <w:sz w:val="30"/>
                <w:szCs w:val="30"/>
              </w:rPr>
              <w:t>序号</w:t>
            </w:r>
          </w:p>
        </w:tc>
        <w:tc>
          <w:tcPr>
            <w:tcW w:w="2139" w:type="dxa"/>
            <w:noWrap w:val="0"/>
            <w:vAlign w:val="center"/>
          </w:tcPr>
          <w:p w14:paraId="69B2EA71">
            <w:pPr>
              <w:pStyle w:val="3"/>
              <w:jc w:val="center"/>
              <w:rPr>
                <w:rFonts w:ascii="华文楷体" w:hAnsi="华文楷体" w:eastAsia="华文楷体" w:cs="华文楷体"/>
                <w:sz w:val="30"/>
                <w:szCs w:val="30"/>
              </w:rPr>
            </w:pPr>
            <w:r>
              <w:rPr>
                <w:rFonts w:hint="eastAsia" w:ascii="华文楷体" w:hAnsi="华文楷体" w:eastAsia="华文楷体" w:cs="华文楷体"/>
                <w:sz w:val="30"/>
                <w:szCs w:val="30"/>
              </w:rPr>
              <w:t>货品名称</w:t>
            </w:r>
          </w:p>
        </w:tc>
        <w:tc>
          <w:tcPr>
            <w:tcW w:w="2530" w:type="dxa"/>
            <w:noWrap w:val="0"/>
            <w:vAlign w:val="center"/>
          </w:tcPr>
          <w:p w14:paraId="3DD81A40">
            <w:pPr>
              <w:pStyle w:val="3"/>
              <w:jc w:val="center"/>
              <w:rPr>
                <w:rFonts w:ascii="华文楷体" w:hAnsi="华文楷体" w:eastAsia="华文楷体" w:cs="华文楷体"/>
                <w:sz w:val="30"/>
                <w:szCs w:val="30"/>
              </w:rPr>
            </w:pPr>
            <w:r>
              <w:rPr>
                <w:rFonts w:hint="eastAsia" w:ascii="华文楷体" w:hAnsi="华文楷体" w:eastAsia="华文楷体" w:cs="华文楷体"/>
                <w:sz w:val="30"/>
                <w:szCs w:val="30"/>
              </w:rPr>
              <w:t>规格及技术参数</w:t>
            </w:r>
          </w:p>
        </w:tc>
        <w:tc>
          <w:tcPr>
            <w:tcW w:w="858" w:type="dxa"/>
            <w:noWrap w:val="0"/>
            <w:vAlign w:val="center"/>
          </w:tcPr>
          <w:p w14:paraId="08FB7C61">
            <w:pPr>
              <w:pStyle w:val="3"/>
              <w:jc w:val="center"/>
              <w:rPr>
                <w:rFonts w:ascii="华文楷体" w:hAnsi="华文楷体" w:eastAsia="华文楷体" w:cs="华文楷体"/>
                <w:sz w:val="30"/>
                <w:szCs w:val="30"/>
              </w:rPr>
            </w:pPr>
            <w:r>
              <w:rPr>
                <w:rFonts w:hint="eastAsia" w:ascii="华文楷体" w:hAnsi="华文楷体" w:eastAsia="华文楷体" w:cs="华文楷体"/>
                <w:sz w:val="30"/>
                <w:szCs w:val="30"/>
              </w:rPr>
              <w:t>单位</w:t>
            </w:r>
          </w:p>
        </w:tc>
        <w:tc>
          <w:tcPr>
            <w:tcW w:w="819" w:type="dxa"/>
            <w:noWrap w:val="0"/>
            <w:vAlign w:val="center"/>
          </w:tcPr>
          <w:p w14:paraId="211025E5">
            <w:pPr>
              <w:pStyle w:val="3"/>
              <w:jc w:val="center"/>
              <w:rPr>
                <w:rFonts w:ascii="华文楷体" w:hAnsi="华文楷体" w:eastAsia="华文楷体" w:cs="华文楷体"/>
                <w:sz w:val="30"/>
                <w:szCs w:val="30"/>
              </w:rPr>
            </w:pPr>
            <w:r>
              <w:rPr>
                <w:rFonts w:hint="eastAsia" w:ascii="华文楷体" w:hAnsi="华文楷体" w:eastAsia="华文楷体" w:cs="华文楷体"/>
                <w:sz w:val="30"/>
                <w:szCs w:val="30"/>
              </w:rPr>
              <w:t>数量</w:t>
            </w:r>
          </w:p>
        </w:tc>
        <w:tc>
          <w:tcPr>
            <w:tcW w:w="1225" w:type="dxa"/>
            <w:noWrap w:val="0"/>
            <w:vAlign w:val="center"/>
          </w:tcPr>
          <w:p w14:paraId="1C907A06">
            <w:pPr>
              <w:pStyle w:val="3"/>
              <w:jc w:val="center"/>
            </w:pPr>
            <w:r>
              <w:rPr>
                <w:rFonts w:hint="eastAsia" w:ascii="华文楷体" w:hAnsi="华文楷体" w:eastAsia="华文楷体" w:cs="华文楷体"/>
                <w:sz w:val="30"/>
                <w:szCs w:val="30"/>
                <w:lang w:val="en-US" w:eastAsia="zh-CN"/>
              </w:rPr>
              <w:t>预算</w:t>
            </w:r>
            <w:r>
              <w:rPr>
                <w:rFonts w:hint="eastAsia" w:ascii="华文楷体" w:hAnsi="华文楷体" w:eastAsia="华文楷体" w:cs="华文楷体"/>
                <w:sz w:val="30"/>
                <w:szCs w:val="30"/>
              </w:rPr>
              <w:t>总额</w:t>
            </w:r>
          </w:p>
          <w:p w14:paraId="3D3F0C6B">
            <w:pPr>
              <w:jc w:val="center"/>
              <w:rPr>
                <w:rFonts w:hint="eastAsia" w:asciiTheme="minorEastAsia" w:hAnsiTheme="minorEastAsia" w:eastAsiaTheme="minorEastAsia" w:cstheme="minorEastAsia"/>
              </w:rPr>
            </w:pPr>
            <w:r>
              <w:rPr>
                <w:rFonts w:hint="eastAsia" w:ascii="宋体" w:hAnsi="宋体" w:eastAsia="宋体" w:cs="宋体"/>
              </w:rPr>
              <w:t>(</w:t>
            </w:r>
            <w:r>
              <w:rPr>
                <w:rFonts w:hint="eastAsia" w:ascii="宋体" w:hAnsi="宋体" w:eastAsia="宋体" w:cs="宋体"/>
                <w:lang w:val="en-US" w:eastAsia="zh-CN"/>
              </w:rPr>
              <w:t>元</w:t>
            </w:r>
            <w:r>
              <w:rPr>
                <w:rFonts w:hint="eastAsia" w:ascii="宋体" w:hAnsi="宋体" w:eastAsia="宋体" w:cs="宋体"/>
              </w:rPr>
              <w:t>)</w:t>
            </w:r>
          </w:p>
        </w:tc>
      </w:tr>
      <w:tr w14:paraId="16D4F7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516" w:type="dxa"/>
            <w:shd w:val="clear"/>
            <w:noWrap w:val="0"/>
            <w:vAlign w:val="center"/>
          </w:tcPr>
          <w:p w14:paraId="0EFAAAC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pacing w:val="20"/>
                <w:kern w:val="1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pacing w:val="20"/>
                <w:kern w:val="10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2139" w:type="dxa"/>
            <w:shd w:val="clear" w:color="auto" w:fill="auto"/>
            <w:noWrap w:val="0"/>
            <w:vAlign w:val="center"/>
          </w:tcPr>
          <w:p w14:paraId="3C6BBE2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华文楷体" w:hAnsi="华文楷体" w:eastAsia="华文楷体" w:cs="华文楷体"/>
                <w:color w:val="auto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华文楷体" w:hAnsi="华文楷体" w:eastAsia="华文楷体" w:cs="华文楷体"/>
                <w:color w:val="auto"/>
                <w:sz w:val="22"/>
                <w:szCs w:val="22"/>
              </w:rPr>
              <w:t>亚硝酸钠</w:t>
            </w:r>
          </w:p>
        </w:tc>
        <w:tc>
          <w:tcPr>
            <w:tcW w:w="2530" w:type="dxa"/>
            <w:shd w:val="clear" w:color="auto" w:fill="auto"/>
            <w:noWrap w:val="0"/>
            <w:vAlign w:val="center"/>
          </w:tcPr>
          <w:p w14:paraId="0B81EDC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pacing w:val="20"/>
                <w:kern w:val="1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auto"/>
                <w:spacing w:val="20"/>
                <w:kern w:val="10"/>
                <w:sz w:val="22"/>
                <w:szCs w:val="22"/>
              </w:rPr>
              <w:t>100g/瓶</w:t>
            </w:r>
          </w:p>
          <w:p w14:paraId="2366593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pacing w:val="20"/>
                <w:kern w:val="1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auto"/>
                <w:spacing w:val="20"/>
                <w:kern w:val="10"/>
                <w:sz w:val="22"/>
                <w:szCs w:val="22"/>
              </w:rPr>
              <w:t>分子式: NaNO</w:t>
            </w:r>
            <w:r>
              <w:rPr>
                <w:rFonts w:hint="eastAsia" w:ascii="仿宋" w:hAnsi="仿宋" w:eastAsia="仿宋" w:cs="仿宋"/>
                <w:color w:val="auto"/>
                <w:spacing w:val="20"/>
                <w:kern w:val="10"/>
                <w:sz w:val="22"/>
                <w:szCs w:val="22"/>
                <w:vertAlign w:val="subscript"/>
              </w:rPr>
              <w:t>2</w:t>
            </w:r>
            <w:r>
              <w:rPr>
                <w:rFonts w:hint="eastAsia" w:ascii="仿宋" w:hAnsi="仿宋" w:eastAsia="仿宋" w:cs="仿宋"/>
                <w:color w:val="auto"/>
                <w:spacing w:val="20"/>
                <w:kern w:val="10"/>
                <w:sz w:val="22"/>
                <w:szCs w:val="22"/>
              </w:rPr>
              <w:t>；</w:t>
            </w:r>
          </w:p>
          <w:p w14:paraId="5BCFB0C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pacing w:val="20"/>
                <w:kern w:val="1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pacing w:val="20"/>
                <w:kern w:val="10"/>
                <w:sz w:val="22"/>
                <w:szCs w:val="22"/>
              </w:rPr>
              <w:t>分子量: 69.00；</w:t>
            </w:r>
          </w:p>
        </w:tc>
        <w:tc>
          <w:tcPr>
            <w:tcW w:w="858" w:type="dxa"/>
            <w:shd w:val="clear" w:color="auto" w:fill="auto"/>
            <w:noWrap w:val="0"/>
            <w:vAlign w:val="center"/>
          </w:tcPr>
          <w:p w14:paraId="3C554C8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pacing w:val="20"/>
                <w:kern w:val="1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20"/>
                <w:kern w:val="10"/>
                <w:sz w:val="22"/>
                <w:szCs w:val="22"/>
              </w:rPr>
              <w:t>瓶</w:t>
            </w:r>
          </w:p>
        </w:tc>
        <w:tc>
          <w:tcPr>
            <w:tcW w:w="819" w:type="dxa"/>
            <w:shd w:val="clear" w:color="auto" w:fill="auto"/>
            <w:noWrap w:val="0"/>
            <w:vAlign w:val="center"/>
          </w:tcPr>
          <w:p w14:paraId="60799DB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pacing w:val="20"/>
                <w:kern w:val="1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20"/>
                <w:kern w:val="10"/>
                <w:sz w:val="22"/>
                <w:szCs w:val="22"/>
                <w:lang w:val="en-US" w:eastAsia="zh-CN"/>
              </w:rPr>
              <w:t>2</w:t>
            </w:r>
          </w:p>
        </w:tc>
        <w:tc>
          <w:tcPr>
            <w:tcW w:w="1225" w:type="dxa"/>
            <w:vMerge w:val="restart"/>
            <w:noWrap w:val="0"/>
            <w:vAlign w:val="center"/>
          </w:tcPr>
          <w:p w14:paraId="6750AEDE">
            <w:pPr>
              <w:widowControl/>
              <w:jc w:val="center"/>
              <w:textAlignment w:val="center"/>
              <w:rPr>
                <w:rFonts w:hint="default" w:ascii="华文楷体" w:hAnsi="华文楷体" w:eastAsia="华文楷体" w:cs="华文楷体"/>
                <w:sz w:val="22"/>
                <w:lang w:val="en-US" w:eastAsia="zh-CN"/>
              </w:rPr>
            </w:pPr>
            <w:r>
              <w:rPr>
                <w:rFonts w:hint="eastAsia" w:ascii="华文楷体" w:hAnsi="华文楷体" w:eastAsia="华文楷体" w:cs="华文楷体"/>
                <w:color w:val="auto"/>
                <w:spacing w:val="20"/>
                <w:kern w:val="10"/>
                <w:sz w:val="22"/>
                <w:szCs w:val="22"/>
                <w:lang w:val="en-US" w:eastAsia="zh-CN"/>
              </w:rPr>
              <w:t>44984.00</w:t>
            </w:r>
          </w:p>
        </w:tc>
      </w:tr>
      <w:tr w14:paraId="1D095E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516" w:type="dxa"/>
            <w:shd w:val="clear"/>
            <w:noWrap w:val="0"/>
            <w:vAlign w:val="center"/>
          </w:tcPr>
          <w:p w14:paraId="320B621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pacing w:val="20"/>
                <w:kern w:val="1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pacing w:val="20"/>
                <w:kern w:val="10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2139" w:type="dxa"/>
            <w:shd w:val="clear" w:color="auto" w:fill="auto"/>
            <w:noWrap w:val="0"/>
            <w:vAlign w:val="center"/>
          </w:tcPr>
          <w:p w14:paraId="1B3833C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华文楷体" w:hAnsi="华文楷体" w:eastAsia="华文楷体" w:cs="华文楷体"/>
                <w:color w:val="auto"/>
                <w:spacing w:val="20"/>
                <w:kern w:val="1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华文楷体" w:hAnsi="华文楷体" w:eastAsia="华文楷体" w:cs="华文楷体"/>
                <w:color w:val="auto"/>
                <w:spacing w:val="20"/>
                <w:kern w:val="10"/>
                <w:sz w:val="22"/>
                <w:szCs w:val="22"/>
                <w:lang w:val="en-US" w:eastAsia="zh-CN" w:bidi="ar-SA"/>
              </w:rPr>
              <w:t>无水乙醇</w:t>
            </w:r>
          </w:p>
        </w:tc>
        <w:tc>
          <w:tcPr>
            <w:tcW w:w="2530" w:type="dxa"/>
            <w:shd w:val="clear" w:color="auto" w:fill="auto"/>
            <w:noWrap w:val="0"/>
            <w:vAlign w:val="center"/>
          </w:tcPr>
          <w:p w14:paraId="5966B24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pacing w:val="20"/>
                <w:kern w:val="1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2"/>
                <w:szCs w:val="22"/>
                <w:lang w:val="en-US" w:eastAsia="zh-CN"/>
              </w:rPr>
              <w:t>分析纯，500g/瓶</w:t>
            </w:r>
          </w:p>
        </w:tc>
        <w:tc>
          <w:tcPr>
            <w:tcW w:w="858" w:type="dxa"/>
            <w:shd w:val="clear" w:color="auto" w:fill="auto"/>
            <w:noWrap w:val="0"/>
            <w:vAlign w:val="center"/>
          </w:tcPr>
          <w:p w14:paraId="6DEAAD6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pacing w:val="20"/>
                <w:kern w:val="1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20"/>
                <w:kern w:val="10"/>
                <w:sz w:val="22"/>
                <w:szCs w:val="22"/>
                <w:lang w:val="en-US" w:eastAsia="zh-CN" w:bidi="ar-SA"/>
              </w:rPr>
              <w:t>瓶</w:t>
            </w:r>
          </w:p>
        </w:tc>
        <w:tc>
          <w:tcPr>
            <w:tcW w:w="819" w:type="dxa"/>
            <w:shd w:val="clear" w:color="auto" w:fill="auto"/>
            <w:noWrap w:val="0"/>
            <w:vAlign w:val="center"/>
          </w:tcPr>
          <w:p w14:paraId="5AF8158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pacing w:val="20"/>
                <w:kern w:val="1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20"/>
                <w:kern w:val="10"/>
                <w:sz w:val="22"/>
                <w:szCs w:val="22"/>
                <w:lang w:val="en-US" w:eastAsia="zh-CN"/>
              </w:rPr>
              <w:t>60</w:t>
            </w:r>
          </w:p>
        </w:tc>
        <w:tc>
          <w:tcPr>
            <w:tcW w:w="1225" w:type="dxa"/>
            <w:vMerge w:val="continue"/>
            <w:tcBorders/>
            <w:noWrap w:val="0"/>
            <w:vAlign w:val="center"/>
          </w:tcPr>
          <w:p w14:paraId="7A57288D">
            <w:pPr>
              <w:widowControl/>
              <w:jc w:val="center"/>
              <w:textAlignment w:val="top"/>
              <w:rPr>
                <w:rFonts w:hint="eastAsia" w:ascii="华文楷体" w:hAnsi="华文楷体" w:eastAsia="华文楷体" w:cs="华文楷体"/>
                <w:sz w:val="22"/>
              </w:rPr>
            </w:pPr>
          </w:p>
        </w:tc>
      </w:tr>
      <w:tr w14:paraId="6830C9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516" w:type="dxa"/>
            <w:shd w:val="clear"/>
            <w:noWrap w:val="0"/>
            <w:vAlign w:val="center"/>
          </w:tcPr>
          <w:p w14:paraId="06F1130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pacing w:val="20"/>
                <w:kern w:val="1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pacing w:val="20"/>
                <w:kern w:val="10"/>
                <w:sz w:val="21"/>
                <w:szCs w:val="21"/>
                <w:lang w:val="en-US" w:eastAsia="zh-CN"/>
              </w:rPr>
              <w:t>3</w:t>
            </w:r>
          </w:p>
        </w:tc>
        <w:tc>
          <w:tcPr>
            <w:tcW w:w="2139" w:type="dxa"/>
            <w:shd w:val="clear" w:color="auto" w:fill="auto"/>
            <w:noWrap w:val="0"/>
            <w:vAlign w:val="center"/>
          </w:tcPr>
          <w:p w14:paraId="23E3F34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华文楷体" w:hAnsi="华文楷体" w:eastAsia="华文楷体" w:cs="华文楷体"/>
                <w:color w:val="auto"/>
                <w:spacing w:val="20"/>
                <w:kern w:val="1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华文楷体" w:hAnsi="华文楷体" w:eastAsia="华文楷体" w:cs="华文楷体"/>
                <w:color w:val="auto"/>
                <w:spacing w:val="20"/>
                <w:kern w:val="10"/>
                <w:sz w:val="22"/>
                <w:szCs w:val="22"/>
                <w:lang w:val="en-US" w:eastAsia="zh-CN"/>
              </w:rPr>
              <w:t>95%乙醇</w:t>
            </w:r>
          </w:p>
        </w:tc>
        <w:tc>
          <w:tcPr>
            <w:tcW w:w="2530" w:type="dxa"/>
            <w:shd w:val="clear" w:color="auto" w:fill="auto"/>
            <w:noWrap w:val="0"/>
            <w:vAlign w:val="center"/>
          </w:tcPr>
          <w:p w14:paraId="2C82F30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pacing w:val="20"/>
                <w:kern w:val="1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pacing w:val="20"/>
                <w:kern w:val="10"/>
                <w:sz w:val="22"/>
                <w:szCs w:val="22"/>
                <w:lang w:val="en-US" w:eastAsia="zh-CN" w:bidi="ar-SA"/>
              </w:rPr>
              <w:t>分析纯，24瓶/箱</w:t>
            </w:r>
          </w:p>
        </w:tc>
        <w:tc>
          <w:tcPr>
            <w:tcW w:w="858" w:type="dxa"/>
            <w:shd w:val="clear" w:color="auto" w:fill="auto"/>
            <w:noWrap w:val="0"/>
            <w:vAlign w:val="center"/>
          </w:tcPr>
          <w:p w14:paraId="74A9318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pacing w:val="20"/>
                <w:kern w:val="1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20"/>
                <w:kern w:val="10"/>
                <w:sz w:val="22"/>
                <w:szCs w:val="22"/>
                <w:lang w:val="en-US" w:eastAsia="zh-CN"/>
              </w:rPr>
              <w:t>箱</w:t>
            </w:r>
          </w:p>
        </w:tc>
        <w:tc>
          <w:tcPr>
            <w:tcW w:w="819" w:type="dxa"/>
            <w:shd w:val="clear" w:color="auto" w:fill="auto"/>
            <w:noWrap w:val="0"/>
            <w:vAlign w:val="center"/>
          </w:tcPr>
          <w:p w14:paraId="6CC9670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pacing w:val="20"/>
                <w:kern w:val="1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20"/>
                <w:kern w:val="10"/>
                <w:sz w:val="22"/>
                <w:szCs w:val="22"/>
                <w:lang w:val="en-US" w:eastAsia="zh-CN" w:bidi="ar-SA"/>
              </w:rPr>
              <w:t>1</w:t>
            </w:r>
          </w:p>
        </w:tc>
        <w:tc>
          <w:tcPr>
            <w:tcW w:w="1225" w:type="dxa"/>
            <w:vMerge w:val="continue"/>
            <w:tcBorders/>
            <w:noWrap w:val="0"/>
            <w:vAlign w:val="center"/>
          </w:tcPr>
          <w:p w14:paraId="7A5A6292">
            <w:pPr>
              <w:widowControl/>
              <w:jc w:val="center"/>
              <w:textAlignment w:val="center"/>
              <w:rPr>
                <w:rFonts w:hint="eastAsia" w:ascii="华文楷体" w:hAnsi="华文楷体" w:eastAsia="华文楷体" w:cs="华文楷体"/>
                <w:sz w:val="22"/>
              </w:rPr>
            </w:pPr>
          </w:p>
        </w:tc>
      </w:tr>
      <w:tr w14:paraId="6611DC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516" w:type="dxa"/>
            <w:shd w:val="clear"/>
            <w:noWrap w:val="0"/>
            <w:vAlign w:val="center"/>
          </w:tcPr>
          <w:p w14:paraId="4CFDFC0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pacing w:val="20"/>
                <w:kern w:val="1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pacing w:val="20"/>
                <w:kern w:val="10"/>
                <w:sz w:val="21"/>
                <w:szCs w:val="21"/>
                <w:lang w:val="en-US" w:eastAsia="zh-CN"/>
              </w:rPr>
              <w:t>4</w:t>
            </w:r>
          </w:p>
        </w:tc>
        <w:tc>
          <w:tcPr>
            <w:tcW w:w="2139" w:type="dxa"/>
            <w:shd w:val="clear" w:color="auto" w:fill="auto"/>
            <w:noWrap w:val="0"/>
            <w:vAlign w:val="center"/>
          </w:tcPr>
          <w:p w14:paraId="3341A8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楷体" w:hAnsi="华文楷体" w:eastAsia="华文楷体" w:cs="华文楷体"/>
                <w:color w:val="auto"/>
                <w:spacing w:val="20"/>
                <w:kern w:val="1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华文楷体" w:hAnsi="华文楷体" w:eastAsia="华文楷体" w:cs="华文楷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冰醋酸</w:t>
            </w:r>
          </w:p>
        </w:tc>
        <w:tc>
          <w:tcPr>
            <w:tcW w:w="2530" w:type="dxa"/>
            <w:shd w:val="clear" w:color="auto" w:fill="auto"/>
            <w:noWrap w:val="0"/>
            <w:vAlign w:val="center"/>
          </w:tcPr>
          <w:p w14:paraId="2544157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pacing w:val="20"/>
                <w:kern w:val="1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  <w:lang w:val="en-US" w:eastAsia="zh-CN" w:bidi="ar"/>
              </w:rPr>
              <w:t>分析纯，乙酸浓度≥99.5%</w:t>
            </w:r>
          </w:p>
        </w:tc>
        <w:tc>
          <w:tcPr>
            <w:tcW w:w="858" w:type="dxa"/>
            <w:shd w:val="clear" w:color="auto" w:fill="auto"/>
            <w:noWrap w:val="0"/>
            <w:vAlign w:val="center"/>
          </w:tcPr>
          <w:p w14:paraId="369A882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pacing w:val="20"/>
                <w:kern w:val="1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20"/>
                <w:kern w:val="10"/>
                <w:sz w:val="22"/>
                <w:szCs w:val="22"/>
                <w:lang w:val="en-US" w:eastAsia="zh-CN"/>
              </w:rPr>
              <w:t>瓶</w:t>
            </w:r>
          </w:p>
        </w:tc>
        <w:tc>
          <w:tcPr>
            <w:tcW w:w="819" w:type="dxa"/>
            <w:shd w:val="clear" w:color="auto" w:fill="auto"/>
            <w:noWrap w:val="0"/>
            <w:vAlign w:val="center"/>
          </w:tcPr>
          <w:p w14:paraId="1F41991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pacing w:val="20"/>
                <w:kern w:val="1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20"/>
                <w:kern w:val="10"/>
                <w:sz w:val="22"/>
                <w:szCs w:val="22"/>
                <w:lang w:val="en-US" w:eastAsia="zh-CN"/>
              </w:rPr>
              <w:t>5</w:t>
            </w:r>
          </w:p>
        </w:tc>
        <w:tc>
          <w:tcPr>
            <w:tcW w:w="1225" w:type="dxa"/>
            <w:vMerge w:val="continue"/>
            <w:tcBorders/>
            <w:noWrap w:val="0"/>
            <w:vAlign w:val="center"/>
          </w:tcPr>
          <w:p w14:paraId="4CB030AF">
            <w:pPr>
              <w:widowControl/>
              <w:jc w:val="both"/>
              <w:textAlignment w:val="top"/>
              <w:rPr>
                <w:rFonts w:hint="eastAsia" w:ascii="华文楷体" w:hAnsi="华文楷体" w:eastAsia="华文楷体" w:cs="华文楷体"/>
                <w:sz w:val="22"/>
              </w:rPr>
            </w:pPr>
          </w:p>
        </w:tc>
      </w:tr>
      <w:tr w14:paraId="180805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516" w:type="dxa"/>
            <w:shd w:val="clear"/>
            <w:noWrap w:val="0"/>
            <w:vAlign w:val="center"/>
          </w:tcPr>
          <w:p w14:paraId="0DFD03E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pacing w:val="20"/>
                <w:kern w:val="1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pacing w:val="20"/>
                <w:kern w:val="10"/>
                <w:sz w:val="21"/>
                <w:szCs w:val="21"/>
                <w:lang w:val="en-US" w:eastAsia="zh-CN"/>
              </w:rPr>
              <w:t>5</w:t>
            </w:r>
          </w:p>
        </w:tc>
        <w:tc>
          <w:tcPr>
            <w:tcW w:w="2139" w:type="dxa"/>
            <w:shd w:val="clear" w:color="auto" w:fill="auto"/>
            <w:noWrap w:val="0"/>
            <w:vAlign w:val="center"/>
          </w:tcPr>
          <w:p w14:paraId="5D5DF57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华文楷体" w:hAnsi="华文楷体" w:eastAsia="华文楷体" w:cs="华文楷体"/>
                <w:color w:val="auto"/>
                <w:spacing w:val="20"/>
                <w:kern w:val="1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华文楷体" w:hAnsi="华文楷体" w:eastAsia="华文楷体" w:cs="华文楷体"/>
                <w:color w:val="auto"/>
                <w:spacing w:val="20"/>
                <w:kern w:val="10"/>
                <w:sz w:val="22"/>
                <w:szCs w:val="22"/>
                <w:lang w:val="en-US" w:eastAsia="zh-CN"/>
              </w:rPr>
              <w:t>生理盐水</w:t>
            </w:r>
          </w:p>
        </w:tc>
        <w:tc>
          <w:tcPr>
            <w:tcW w:w="2530" w:type="dxa"/>
            <w:shd w:val="clear" w:color="auto" w:fill="auto"/>
            <w:noWrap w:val="0"/>
            <w:vAlign w:val="center"/>
          </w:tcPr>
          <w:p w14:paraId="0E8F59A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pacing w:val="20"/>
                <w:kern w:val="1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pacing w:val="20"/>
                <w:kern w:val="10"/>
                <w:sz w:val="22"/>
                <w:szCs w:val="22"/>
              </w:rPr>
              <w:t>100mL/瓶</w:t>
            </w:r>
          </w:p>
        </w:tc>
        <w:tc>
          <w:tcPr>
            <w:tcW w:w="858" w:type="dxa"/>
            <w:shd w:val="clear" w:color="auto" w:fill="auto"/>
            <w:noWrap w:val="0"/>
            <w:vAlign w:val="center"/>
          </w:tcPr>
          <w:p w14:paraId="1EDD6D7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pacing w:val="20"/>
                <w:kern w:val="1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20"/>
                <w:kern w:val="10"/>
                <w:sz w:val="22"/>
                <w:szCs w:val="22"/>
              </w:rPr>
              <w:t>瓶</w:t>
            </w:r>
          </w:p>
        </w:tc>
        <w:tc>
          <w:tcPr>
            <w:tcW w:w="819" w:type="dxa"/>
            <w:shd w:val="clear" w:color="auto" w:fill="auto"/>
            <w:noWrap w:val="0"/>
            <w:vAlign w:val="center"/>
          </w:tcPr>
          <w:p w14:paraId="5C9531D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pacing w:val="20"/>
                <w:kern w:val="1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20"/>
                <w:kern w:val="10"/>
                <w:sz w:val="22"/>
                <w:szCs w:val="22"/>
                <w:lang w:val="en-US" w:eastAsia="zh-CN"/>
              </w:rPr>
              <w:t>50</w:t>
            </w:r>
          </w:p>
        </w:tc>
        <w:tc>
          <w:tcPr>
            <w:tcW w:w="1225" w:type="dxa"/>
            <w:vMerge w:val="continue"/>
            <w:tcBorders/>
            <w:noWrap w:val="0"/>
            <w:vAlign w:val="center"/>
          </w:tcPr>
          <w:p w14:paraId="7F2CE00D">
            <w:pPr>
              <w:widowControl/>
              <w:jc w:val="center"/>
              <w:textAlignment w:val="top"/>
              <w:rPr>
                <w:rFonts w:hint="eastAsia" w:ascii="华文楷体" w:hAnsi="华文楷体" w:eastAsia="华文楷体" w:cs="华文楷体"/>
                <w:sz w:val="22"/>
              </w:rPr>
            </w:pPr>
          </w:p>
        </w:tc>
      </w:tr>
      <w:tr w14:paraId="413FD2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516" w:type="dxa"/>
            <w:shd w:val="clear"/>
            <w:noWrap w:val="0"/>
            <w:vAlign w:val="center"/>
          </w:tcPr>
          <w:p w14:paraId="46121AB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pacing w:val="20"/>
                <w:kern w:val="1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pacing w:val="20"/>
                <w:kern w:val="10"/>
                <w:sz w:val="21"/>
                <w:szCs w:val="21"/>
                <w:lang w:val="en-US" w:eastAsia="zh-CN"/>
              </w:rPr>
              <w:t>6</w:t>
            </w:r>
          </w:p>
        </w:tc>
        <w:tc>
          <w:tcPr>
            <w:tcW w:w="2139" w:type="dxa"/>
            <w:shd w:val="clear" w:color="auto" w:fill="auto"/>
            <w:noWrap w:val="0"/>
            <w:vAlign w:val="center"/>
          </w:tcPr>
          <w:p w14:paraId="314706C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华文楷体" w:hAnsi="华文楷体" w:eastAsia="华文楷体" w:cs="华文楷体"/>
                <w:color w:val="auto"/>
                <w:spacing w:val="20"/>
                <w:kern w:val="1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华文楷体" w:hAnsi="华文楷体" w:eastAsia="华文楷体" w:cs="华文楷体"/>
                <w:color w:val="auto"/>
                <w:spacing w:val="20"/>
                <w:kern w:val="10"/>
                <w:sz w:val="22"/>
                <w:szCs w:val="22"/>
              </w:rPr>
              <w:t>无水葡萄糖</w:t>
            </w:r>
          </w:p>
        </w:tc>
        <w:tc>
          <w:tcPr>
            <w:tcW w:w="2530" w:type="dxa"/>
            <w:shd w:val="clear" w:color="auto" w:fill="auto"/>
            <w:noWrap w:val="0"/>
            <w:vAlign w:val="center"/>
          </w:tcPr>
          <w:p w14:paraId="6BDA242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pacing w:val="20"/>
                <w:kern w:val="1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2"/>
                <w:szCs w:val="22"/>
              </w:rPr>
              <w:t>分析纯，500g/瓶</w:t>
            </w:r>
          </w:p>
        </w:tc>
        <w:tc>
          <w:tcPr>
            <w:tcW w:w="858" w:type="dxa"/>
            <w:shd w:val="clear" w:color="auto" w:fill="auto"/>
            <w:noWrap w:val="0"/>
            <w:vAlign w:val="center"/>
          </w:tcPr>
          <w:p w14:paraId="14ACB5B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pacing w:val="20"/>
                <w:kern w:val="1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20"/>
                <w:kern w:val="10"/>
                <w:sz w:val="22"/>
                <w:szCs w:val="22"/>
              </w:rPr>
              <w:t>瓶</w:t>
            </w:r>
          </w:p>
        </w:tc>
        <w:tc>
          <w:tcPr>
            <w:tcW w:w="819" w:type="dxa"/>
            <w:shd w:val="clear" w:color="auto" w:fill="auto"/>
            <w:noWrap w:val="0"/>
            <w:vAlign w:val="center"/>
          </w:tcPr>
          <w:p w14:paraId="13AED60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pacing w:val="20"/>
                <w:kern w:val="1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20"/>
                <w:kern w:val="10"/>
                <w:sz w:val="22"/>
                <w:szCs w:val="22"/>
              </w:rPr>
              <w:t>1</w:t>
            </w:r>
          </w:p>
        </w:tc>
        <w:tc>
          <w:tcPr>
            <w:tcW w:w="1225" w:type="dxa"/>
            <w:vMerge w:val="continue"/>
            <w:tcBorders/>
            <w:noWrap w:val="0"/>
            <w:vAlign w:val="center"/>
          </w:tcPr>
          <w:p w14:paraId="3C85D76C">
            <w:pPr>
              <w:widowControl/>
              <w:jc w:val="center"/>
              <w:textAlignment w:val="top"/>
              <w:rPr>
                <w:rFonts w:hint="eastAsia" w:ascii="华文楷体" w:hAnsi="华文楷体" w:eastAsia="华文楷体" w:cs="华文楷体"/>
                <w:sz w:val="22"/>
              </w:rPr>
            </w:pPr>
          </w:p>
        </w:tc>
      </w:tr>
      <w:tr w14:paraId="797818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516" w:type="dxa"/>
            <w:shd w:val="clear"/>
            <w:noWrap w:val="0"/>
            <w:vAlign w:val="center"/>
          </w:tcPr>
          <w:p w14:paraId="4F34909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pacing w:val="20"/>
                <w:kern w:val="1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pacing w:val="20"/>
                <w:kern w:val="10"/>
                <w:sz w:val="21"/>
                <w:szCs w:val="21"/>
                <w:lang w:val="en-US" w:eastAsia="zh-CN"/>
              </w:rPr>
              <w:t>7</w:t>
            </w:r>
          </w:p>
        </w:tc>
        <w:tc>
          <w:tcPr>
            <w:tcW w:w="2139" w:type="dxa"/>
            <w:shd w:val="clear" w:color="auto" w:fill="auto"/>
            <w:noWrap w:val="0"/>
            <w:vAlign w:val="center"/>
          </w:tcPr>
          <w:p w14:paraId="1B7897B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华文楷体" w:hAnsi="华文楷体" w:eastAsia="华文楷体" w:cs="华文楷体"/>
                <w:color w:val="auto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华文楷体" w:hAnsi="华文楷体" w:eastAsia="华文楷体" w:cs="华文楷体"/>
                <w:color w:val="auto"/>
                <w:sz w:val="22"/>
                <w:szCs w:val="22"/>
              </w:rPr>
              <w:t>医用级凡士林</w:t>
            </w:r>
          </w:p>
        </w:tc>
        <w:tc>
          <w:tcPr>
            <w:tcW w:w="2530" w:type="dxa"/>
            <w:shd w:val="clear" w:color="auto" w:fill="auto"/>
            <w:noWrap w:val="0"/>
            <w:vAlign w:val="center"/>
          </w:tcPr>
          <w:p w14:paraId="3C0E656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pacing w:val="20"/>
                <w:kern w:val="1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pacing w:val="20"/>
                <w:kern w:val="10"/>
                <w:sz w:val="22"/>
                <w:szCs w:val="22"/>
              </w:rPr>
              <w:t>500ml/瓶</w:t>
            </w:r>
          </w:p>
        </w:tc>
        <w:tc>
          <w:tcPr>
            <w:tcW w:w="858" w:type="dxa"/>
            <w:shd w:val="clear" w:color="auto" w:fill="auto"/>
            <w:noWrap w:val="0"/>
            <w:vAlign w:val="center"/>
          </w:tcPr>
          <w:p w14:paraId="637F771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pacing w:val="20"/>
                <w:kern w:val="1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20"/>
                <w:kern w:val="10"/>
                <w:sz w:val="22"/>
                <w:szCs w:val="22"/>
              </w:rPr>
              <w:t>瓶</w:t>
            </w:r>
          </w:p>
        </w:tc>
        <w:tc>
          <w:tcPr>
            <w:tcW w:w="819" w:type="dxa"/>
            <w:shd w:val="clear" w:color="auto" w:fill="auto"/>
            <w:noWrap w:val="0"/>
            <w:vAlign w:val="center"/>
          </w:tcPr>
          <w:p w14:paraId="510AAA9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pacing w:val="20"/>
                <w:kern w:val="1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20"/>
                <w:kern w:val="10"/>
                <w:sz w:val="22"/>
                <w:szCs w:val="22"/>
                <w:lang w:val="en-US" w:eastAsia="zh-CN"/>
              </w:rPr>
              <w:t>2</w:t>
            </w:r>
          </w:p>
        </w:tc>
        <w:tc>
          <w:tcPr>
            <w:tcW w:w="1225" w:type="dxa"/>
            <w:vMerge w:val="continue"/>
            <w:tcBorders/>
            <w:noWrap w:val="0"/>
            <w:vAlign w:val="center"/>
          </w:tcPr>
          <w:p w14:paraId="6304FAAD">
            <w:pPr>
              <w:widowControl/>
              <w:jc w:val="center"/>
              <w:textAlignment w:val="top"/>
              <w:rPr>
                <w:rFonts w:hint="eastAsia" w:ascii="华文楷体" w:hAnsi="华文楷体" w:eastAsia="华文楷体" w:cs="华文楷体"/>
                <w:sz w:val="22"/>
              </w:rPr>
            </w:pPr>
          </w:p>
        </w:tc>
      </w:tr>
      <w:tr w14:paraId="55A5B6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516" w:type="dxa"/>
            <w:shd w:val="clear"/>
            <w:noWrap w:val="0"/>
            <w:vAlign w:val="center"/>
          </w:tcPr>
          <w:p w14:paraId="4F3BDEC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pacing w:val="20"/>
                <w:kern w:val="1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pacing w:val="20"/>
                <w:kern w:val="10"/>
                <w:sz w:val="21"/>
                <w:szCs w:val="21"/>
                <w:lang w:val="en-US" w:eastAsia="zh-CN"/>
              </w:rPr>
              <w:t>8</w:t>
            </w:r>
          </w:p>
        </w:tc>
        <w:tc>
          <w:tcPr>
            <w:tcW w:w="2139" w:type="dxa"/>
            <w:shd w:val="clear" w:color="auto" w:fill="auto"/>
            <w:noWrap w:val="0"/>
            <w:vAlign w:val="center"/>
          </w:tcPr>
          <w:p w14:paraId="3D11C6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楷体" w:hAnsi="华文楷体" w:eastAsia="华文楷体" w:cs="华文楷体"/>
                <w:i w:val="0"/>
                <w:iCs w:val="0"/>
                <w:color w:val="0070C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华文楷体" w:hAnsi="华文楷体" w:eastAsia="华文楷体" w:cs="华文楷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组织固定液</w:t>
            </w:r>
          </w:p>
        </w:tc>
        <w:tc>
          <w:tcPr>
            <w:tcW w:w="2530" w:type="dxa"/>
            <w:shd w:val="clear" w:color="auto" w:fill="auto"/>
            <w:noWrap w:val="0"/>
            <w:vAlign w:val="center"/>
          </w:tcPr>
          <w:p w14:paraId="3BF9DC5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pacing w:val="20"/>
                <w:kern w:val="10"/>
                <w:sz w:val="22"/>
                <w:szCs w:val="22"/>
                <w:lang w:val="en-US" w:eastAsia="zh-CN"/>
              </w:rPr>
              <w:t>500ml/瓶*20瓶/箱</w:t>
            </w:r>
          </w:p>
        </w:tc>
        <w:tc>
          <w:tcPr>
            <w:tcW w:w="858" w:type="dxa"/>
            <w:shd w:val="clear" w:color="auto" w:fill="auto"/>
            <w:noWrap w:val="0"/>
            <w:vAlign w:val="center"/>
          </w:tcPr>
          <w:p w14:paraId="5257B19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pacing w:val="20"/>
                <w:kern w:val="1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20"/>
                <w:kern w:val="10"/>
                <w:sz w:val="22"/>
                <w:szCs w:val="22"/>
                <w:lang w:val="en-US" w:eastAsia="zh-CN"/>
              </w:rPr>
              <w:t>箱</w:t>
            </w:r>
          </w:p>
        </w:tc>
        <w:tc>
          <w:tcPr>
            <w:tcW w:w="819" w:type="dxa"/>
            <w:shd w:val="clear" w:color="auto" w:fill="auto"/>
            <w:noWrap w:val="0"/>
            <w:vAlign w:val="center"/>
          </w:tcPr>
          <w:p w14:paraId="6A1CD3B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pacing w:val="20"/>
                <w:kern w:val="1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20"/>
                <w:kern w:val="10"/>
                <w:sz w:val="22"/>
                <w:szCs w:val="22"/>
                <w:lang w:val="en-US" w:eastAsia="zh-CN"/>
              </w:rPr>
              <w:t>5</w:t>
            </w:r>
          </w:p>
        </w:tc>
        <w:tc>
          <w:tcPr>
            <w:tcW w:w="1225" w:type="dxa"/>
            <w:vMerge w:val="continue"/>
            <w:tcBorders/>
            <w:noWrap w:val="0"/>
            <w:vAlign w:val="center"/>
          </w:tcPr>
          <w:p w14:paraId="14FD1618">
            <w:pPr>
              <w:widowControl/>
              <w:jc w:val="center"/>
              <w:textAlignment w:val="top"/>
              <w:rPr>
                <w:rFonts w:hint="eastAsia" w:ascii="华文楷体" w:hAnsi="华文楷体" w:eastAsia="华文楷体" w:cs="华文楷体"/>
                <w:sz w:val="22"/>
              </w:rPr>
            </w:pPr>
          </w:p>
        </w:tc>
      </w:tr>
      <w:tr w14:paraId="33FC24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516" w:type="dxa"/>
            <w:shd w:val="clear"/>
            <w:noWrap w:val="0"/>
            <w:vAlign w:val="center"/>
          </w:tcPr>
          <w:p w14:paraId="4537DC1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pacing w:val="20"/>
                <w:kern w:val="1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pacing w:val="20"/>
                <w:kern w:val="10"/>
                <w:sz w:val="21"/>
                <w:szCs w:val="21"/>
                <w:lang w:val="en-US" w:eastAsia="zh-CN"/>
              </w:rPr>
              <w:t>9</w:t>
            </w:r>
          </w:p>
        </w:tc>
        <w:tc>
          <w:tcPr>
            <w:tcW w:w="2139" w:type="dxa"/>
            <w:shd w:val="clear" w:color="auto" w:fill="auto"/>
            <w:noWrap w:val="0"/>
            <w:vAlign w:val="center"/>
          </w:tcPr>
          <w:p w14:paraId="3DC1C5A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华文楷体" w:hAnsi="华文楷体" w:eastAsia="华文楷体" w:cs="华文楷体"/>
                <w:color w:val="auto"/>
                <w:spacing w:val="20"/>
                <w:kern w:val="1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华文楷体" w:hAnsi="华文楷体" w:eastAsia="华文楷体" w:cs="华文楷体"/>
                <w:color w:val="auto"/>
                <w:spacing w:val="20"/>
                <w:kern w:val="10"/>
                <w:sz w:val="22"/>
                <w:szCs w:val="22"/>
              </w:rPr>
              <w:t>二氧化氯泡腾片</w:t>
            </w:r>
          </w:p>
        </w:tc>
        <w:tc>
          <w:tcPr>
            <w:tcW w:w="2530" w:type="dxa"/>
            <w:shd w:val="clear" w:color="auto" w:fill="auto"/>
            <w:noWrap w:val="0"/>
            <w:vAlign w:val="center"/>
          </w:tcPr>
          <w:p w14:paraId="13221AE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pacing w:val="20"/>
                <w:kern w:val="1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pacing w:val="20"/>
                <w:kern w:val="10"/>
                <w:sz w:val="22"/>
                <w:szCs w:val="22"/>
                <w:lang w:val="en-US" w:eastAsia="zh-CN"/>
              </w:rPr>
              <w:t>1g/片，100片/瓶，</w:t>
            </w:r>
            <w:r>
              <w:rPr>
                <w:rFonts w:hint="eastAsia" w:ascii="仿宋" w:hAnsi="仿宋" w:eastAsia="仿宋" w:cs="仿宋"/>
                <w:color w:val="auto"/>
                <w:spacing w:val="20"/>
                <w:kern w:val="10"/>
                <w:sz w:val="22"/>
                <w:szCs w:val="22"/>
              </w:rPr>
              <w:t>二氧化氯含量10±0.1%</w:t>
            </w:r>
          </w:p>
        </w:tc>
        <w:tc>
          <w:tcPr>
            <w:tcW w:w="858" w:type="dxa"/>
            <w:shd w:val="clear" w:color="auto" w:fill="auto"/>
            <w:noWrap w:val="0"/>
            <w:vAlign w:val="center"/>
          </w:tcPr>
          <w:p w14:paraId="4E00EE6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pacing w:val="20"/>
                <w:kern w:val="1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20"/>
                <w:kern w:val="10"/>
                <w:sz w:val="22"/>
                <w:szCs w:val="22"/>
                <w:lang w:val="en-US" w:eastAsia="zh-CN"/>
              </w:rPr>
              <w:t>瓶</w:t>
            </w:r>
          </w:p>
        </w:tc>
        <w:tc>
          <w:tcPr>
            <w:tcW w:w="819" w:type="dxa"/>
            <w:shd w:val="clear" w:color="auto" w:fill="auto"/>
            <w:noWrap w:val="0"/>
            <w:vAlign w:val="center"/>
          </w:tcPr>
          <w:p w14:paraId="23E35C0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pacing w:val="20"/>
                <w:kern w:val="1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20"/>
                <w:kern w:val="10"/>
                <w:sz w:val="22"/>
                <w:szCs w:val="22"/>
              </w:rPr>
              <w:t>5</w:t>
            </w:r>
          </w:p>
        </w:tc>
        <w:tc>
          <w:tcPr>
            <w:tcW w:w="1225" w:type="dxa"/>
            <w:vMerge w:val="continue"/>
            <w:tcBorders/>
            <w:noWrap w:val="0"/>
            <w:vAlign w:val="center"/>
          </w:tcPr>
          <w:p w14:paraId="7643609A">
            <w:pPr>
              <w:widowControl/>
              <w:jc w:val="center"/>
              <w:textAlignment w:val="top"/>
              <w:rPr>
                <w:rFonts w:hint="eastAsia" w:ascii="华文楷体" w:hAnsi="华文楷体" w:eastAsia="华文楷体" w:cs="华文楷体"/>
                <w:sz w:val="22"/>
              </w:rPr>
            </w:pPr>
          </w:p>
        </w:tc>
      </w:tr>
      <w:tr w14:paraId="7E0CB7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516" w:type="dxa"/>
            <w:shd w:val="clear"/>
            <w:noWrap w:val="0"/>
            <w:vAlign w:val="center"/>
          </w:tcPr>
          <w:p w14:paraId="17A1AD1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pacing w:val="20"/>
                <w:kern w:val="1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pacing w:val="20"/>
                <w:kern w:val="10"/>
                <w:sz w:val="21"/>
                <w:szCs w:val="21"/>
                <w:lang w:val="en-US" w:eastAsia="zh-CN"/>
              </w:rPr>
              <w:t>10</w:t>
            </w:r>
          </w:p>
        </w:tc>
        <w:tc>
          <w:tcPr>
            <w:tcW w:w="2139" w:type="dxa"/>
            <w:shd w:val="clear" w:color="auto" w:fill="auto"/>
            <w:noWrap w:val="0"/>
            <w:vAlign w:val="center"/>
          </w:tcPr>
          <w:p w14:paraId="4EB39A0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华文楷体" w:hAnsi="华文楷体" w:eastAsia="华文楷体" w:cs="华文楷体"/>
                <w:color w:val="auto"/>
                <w:spacing w:val="20"/>
                <w:kern w:val="1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华文楷体" w:hAnsi="华文楷体" w:eastAsia="华文楷体" w:cs="华文楷体"/>
                <w:color w:val="auto"/>
                <w:spacing w:val="20"/>
                <w:kern w:val="10"/>
                <w:sz w:val="22"/>
                <w:szCs w:val="22"/>
              </w:rPr>
              <w:t>新洁尔灭消毒液</w:t>
            </w:r>
          </w:p>
        </w:tc>
        <w:tc>
          <w:tcPr>
            <w:tcW w:w="2530" w:type="dxa"/>
            <w:shd w:val="clear" w:color="auto" w:fill="auto"/>
            <w:noWrap w:val="0"/>
            <w:vAlign w:val="center"/>
          </w:tcPr>
          <w:p w14:paraId="45D6DBF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pacing w:val="20"/>
                <w:kern w:val="1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pacing w:val="20"/>
                <w:kern w:val="10"/>
                <w:sz w:val="22"/>
                <w:szCs w:val="22"/>
              </w:rPr>
              <w:t>500ml/瓶，苯扎溴铵含量27g/L-33g/L</w:t>
            </w:r>
          </w:p>
        </w:tc>
        <w:tc>
          <w:tcPr>
            <w:tcW w:w="858" w:type="dxa"/>
            <w:shd w:val="clear" w:color="auto" w:fill="auto"/>
            <w:noWrap w:val="0"/>
            <w:vAlign w:val="center"/>
          </w:tcPr>
          <w:p w14:paraId="3E2902D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pacing w:val="20"/>
                <w:kern w:val="1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20"/>
                <w:kern w:val="10"/>
                <w:sz w:val="22"/>
                <w:szCs w:val="22"/>
              </w:rPr>
              <w:t>瓶</w:t>
            </w:r>
          </w:p>
        </w:tc>
        <w:tc>
          <w:tcPr>
            <w:tcW w:w="819" w:type="dxa"/>
            <w:shd w:val="clear" w:color="auto" w:fill="auto"/>
            <w:noWrap w:val="0"/>
            <w:vAlign w:val="center"/>
          </w:tcPr>
          <w:p w14:paraId="793A3EB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pacing w:val="20"/>
                <w:kern w:val="1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20"/>
                <w:kern w:val="10"/>
                <w:sz w:val="22"/>
                <w:szCs w:val="22"/>
              </w:rPr>
              <w:t>30</w:t>
            </w:r>
          </w:p>
        </w:tc>
        <w:tc>
          <w:tcPr>
            <w:tcW w:w="1225" w:type="dxa"/>
            <w:vMerge w:val="continue"/>
            <w:tcBorders/>
            <w:noWrap w:val="0"/>
            <w:vAlign w:val="center"/>
          </w:tcPr>
          <w:p w14:paraId="62286BC2">
            <w:pPr>
              <w:widowControl/>
              <w:jc w:val="center"/>
              <w:textAlignment w:val="top"/>
              <w:rPr>
                <w:rFonts w:hint="eastAsia" w:ascii="华文楷体" w:hAnsi="华文楷体" w:eastAsia="华文楷体" w:cs="华文楷体"/>
                <w:sz w:val="22"/>
              </w:rPr>
            </w:pPr>
          </w:p>
        </w:tc>
      </w:tr>
      <w:tr w14:paraId="044219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516" w:type="dxa"/>
            <w:shd w:val="clear"/>
            <w:noWrap w:val="0"/>
            <w:vAlign w:val="center"/>
          </w:tcPr>
          <w:p w14:paraId="0FCDF83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pacing w:val="20"/>
                <w:kern w:val="1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pacing w:val="20"/>
                <w:kern w:val="10"/>
                <w:sz w:val="21"/>
                <w:szCs w:val="21"/>
                <w:lang w:val="en-US" w:eastAsia="zh-CN"/>
              </w:rPr>
              <w:t>11</w:t>
            </w:r>
          </w:p>
        </w:tc>
        <w:tc>
          <w:tcPr>
            <w:tcW w:w="2139" w:type="dxa"/>
            <w:shd w:val="clear" w:color="auto" w:fill="auto"/>
            <w:noWrap w:val="0"/>
            <w:vAlign w:val="center"/>
          </w:tcPr>
          <w:p w14:paraId="314CD80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华文楷体" w:hAnsi="华文楷体" w:eastAsia="华文楷体" w:cs="华文楷体"/>
                <w:color w:val="auto"/>
                <w:spacing w:val="20"/>
                <w:kern w:val="1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华文楷体" w:hAnsi="华文楷体" w:eastAsia="华文楷体" w:cs="华文楷体"/>
                <w:color w:val="auto"/>
                <w:spacing w:val="20"/>
                <w:kern w:val="10"/>
                <w:sz w:val="22"/>
                <w:szCs w:val="22"/>
              </w:rPr>
              <w:t>次氯酸钠泡腾片</w:t>
            </w:r>
          </w:p>
        </w:tc>
        <w:tc>
          <w:tcPr>
            <w:tcW w:w="2530" w:type="dxa"/>
            <w:shd w:val="clear" w:color="auto" w:fill="auto"/>
            <w:noWrap w:val="0"/>
            <w:vAlign w:val="center"/>
          </w:tcPr>
          <w:p w14:paraId="255F5BA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pacing w:val="20"/>
                <w:kern w:val="1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pacing w:val="20"/>
                <w:kern w:val="10"/>
                <w:sz w:val="22"/>
                <w:szCs w:val="22"/>
                <w:lang w:val="en-US" w:eastAsia="zh-CN"/>
              </w:rPr>
              <w:t>1g/片，100片/瓶，</w:t>
            </w:r>
            <w:r>
              <w:rPr>
                <w:rFonts w:hint="eastAsia" w:ascii="仿宋" w:hAnsi="仿宋" w:eastAsia="仿宋" w:cs="仿宋"/>
                <w:color w:val="auto"/>
                <w:spacing w:val="20"/>
                <w:kern w:val="10"/>
                <w:sz w:val="22"/>
                <w:szCs w:val="22"/>
              </w:rPr>
              <w:t>有效氯10%-15%</w:t>
            </w:r>
          </w:p>
        </w:tc>
        <w:tc>
          <w:tcPr>
            <w:tcW w:w="858" w:type="dxa"/>
            <w:shd w:val="clear" w:color="auto" w:fill="auto"/>
            <w:noWrap w:val="0"/>
            <w:vAlign w:val="center"/>
          </w:tcPr>
          <w:p w14:paraId="13F108F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pacing w:val="20"/>
                <w:kern w:val="1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20"/>
                <w:kern w:val="10"/>
                <w:sz w:val="22"/>
                <w:szCs w:val="22"/>
                <w:lang w:val="en-US" w:eastAsia="zh-CN"/>
              </w:rPr>
              <w:t>瓶</w:t>
            </w:r>
          </w:p>
        </w:tc>
        <w:tc>
          <w:tcPr>
            <w:tcW w:w="819" w:type="dxa"/>
            <w:shd w:val="clear" w:color="auto" w:fill="auto"/>
            <w:noWrap w:val="0"/>
            <w:vAlign w:val="center"/>
          </w:tcPr>
          <w:p w14:paraId="570B45E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pacing w:val="20"/>
                <w:kern w:val="1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20"/>
                <w:kern w:val="10"/>
                <w:sz w:val="22"/>
                <w:szCs w:val="22"/>
              </w:rPr>
              <w:t>5</w:t>
            </w:r>
          </w:p>
        </w:tc>
        <w:tc>
          <w:tcPr>
            <w:tcW w:w="1225" w:type="dxa"/>
            <w:vMerge w:val="continue"/>
            <w:tcBorders/>
            <w:noWrap w:val="0"/>
            <w:vAlign w:val="center"/>
          </w:tcPr>
          <w:p w14:paraId="7889CE93">
            <w:pPr>
              <w:widowControl/>
              <w:jc w:val="center"/>
              <w:textAlignment w:val="top"/>
              <w:rPr>
                <w:rFonts w:hint="eastAsia" w:ascii="华文楷体" w:hAnsi="华文楷体" w:eastAsia="华文楷体" w:cs="华文楷体"/>
                <w:sz w:val="22"/>
              </w:rPr>
            </w:pPr>
          </w:p>
        </w:tc>
      </w:tr>
      <w:tr w14:paraId="5ED78A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516" w:type="dxa"/>
            <w:shd w:val="clear"/>
            <w:noWrap w:val="0"/>
            <w:vAlign w:val="center"/>
          </w:tcPr>
          <w:p w14:paraId="60AD100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pacing w:val="20"/>
                <w:kern w:val="1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pacing w:val="20"/>
                <w:kern w:val="10"/>
                <w:sz w:val="21"/>
                <w:szCs w:val="21"/>
                <w:lang w:val="en-US" w:eastAsia="zh-CN"/>
              </w:rPr>
              <w:t>12</w:t>
            </w:r>
          </w:p>
        </w:tc>
        <w:tc>
          <w:tcPr>
            <w:tcW w:w="2139" w:type="dxa"/>
            <w:shd w:val="clear" w:color="auto" w:fill="auto"/>
            <w:noWrap w:val="0"/>
            <w:vAlign w:val="center"/>
          </w:tcPr>
          <w:p w14:paraId="0A4901F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华文楷体" w:hAnsi="华文楷体" w:eastAsia="华文楷体" w:cs="华文楷体"/>
                <w:color w:val="auto"/>
                <w:spacing w:val="20"/>
                <w:kern w:val="1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华文楷体" w:hAnsi="华文楷体" w:eastAsia="华文楷体" w:cs="华文楷体"/>
                <w:color w:val="auto"/>
                <w:spacing w:val="20"/>
                <w:kern w:val="10"/>
                <w:sz w:val="22"/>
                <w:szCs w:val="22"/>
              </w:rPr>
              <w:t>碘伏消毒液</w:t>
            </w:r>
          </w:p>
        </w:tc>
        <w:tc>
          <w:tcPr>
            <w:tcW w:w="2530" w:type="dxa"/>
            <w:shd w:val="clear" w:color="auto" w:fill="auto"/>
            <w:noWrap w:val="0"/>
            <w:vAlign w:val="center"/>
          </w:tcPr>
          <w:p w14:paraId="58A6EFF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pacing w:val="20"/>
                <w:kern w:val="1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pacing w:val="20"/>
                <w:kern w:val="10"/>
                <w:sz w:val="22"/>
                <w:szCs w:val="22"/>
              </w:rPr>
              <w:t>500mL/瓶，4.5g/L-5.5g/L</w:t>
            </w:r>
          </w:p>
        </w:tc>
        <w:tc>
          <w:tcPr>
            <w:tcW w:w="858" w:type="dxa"/>
            <w:shd w:val="clear" w:color="auto" w:fill="auto"/>
            <w:noWrap w:val="0"/>
            <w:vAlign w:val="center"/>
          </w:tcPr>
          <w:p w14:paraId="70885C2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pacing w:val="20"/>
                <w:kern w:val="1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20"/>
                <w:kern w:val="10"/>
                <w:sz w:val="22"/>
                <w:szCs w:val="22"/>
              </w:rPr>
              <w:t>瓶</w:t>
            </w:r>
          </w:p>
        </w:tc>
        <w:tc>
          <w:tcPr>
            <w:tcW w:w="819" w:type="dxa"/>
            <w:shd w:val="clear" w:color="auto" w:fill="auto"/>
            <w:noWrap w:val="0"/>
            <w:vAlign w:val="center"/>
          </w:tcPr>
          <w:p w14:paraId="17DC055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pacing w:val="20"/>
                <w:kern w:val="1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20"/>
                <w:kern w:val="10"/>
                <w:sz w:val="22"/>
                <w:szCs w:val="22"/>
              </w:rPr>
              <w:t>30</w:t>
            </w:r>
          </w:p>
        </w:tc>
        <w:tc>
          <w:tcPr>
            <w:tcW w:w="1225" w:type="dxa"/>
            <w:vMerge w:val="continue"/>
            <w:tcBorders/>
            <w:noWrap w:val="0"/>
            <w:vAlign w:val="center"/>
          </w:tcPr>
          <w:p w14:paraId="25ECDB91">
            <w:pPr>
              <w:widowControl/>
              <w:jc w:val="center"/>
              <w:textAlignment w:val="top"/>
              <w:rPr>
                <w:rFonts w:hint="eastAsia" w:ascii="华文楷体" w:hAnsi="华文楷体" w:eastAsia="华文楷体" w:cs="华文楷体"/>
                <w:sz w:val="22"/>
              </w:rPr>
            </w:pPr>
          </w:p>
        </w:tc>
      </w:tr>
      <w:tr w14:paraId="0B8403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516" w:type="dxa"/>
            <w:shd w:val="clear"/>
            <w:noWrap w:val="0"/>
            <w:vAlign w:val="center"/>
          </w:tcPr>
          <w:p w14:paraId="5058AD0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pacing w:val="20"/>
                <w:kern w:val="1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pacing w:val="20"/>
                <w:kern w:val="10"/>
                <w:sz w:val="21"/>
                <w:szCs w:val="21"/>
                <w:lang w:val="en-US" w:eastAsia="zh-CN"/>
              </w:rPr>
              <w:t>13</w:t>
            </w:r>
          </w:p>
        </w:tc>
        <w:tc>
          <w:tcPr>
            <w:tcW w:w="2139" w:type="dxa"/>
            <w:shd w:val="clear" w:color="auto" w:fill="auto"/>
            <w:noWrap w:val="0"/>
            <w:vAlign w:val="center"/>
          </w:tcPr>
          <w:p w14:paraId="0616791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华文楷体" w:hAnsi="华文楷体" w:eastAsia="华文楷体" w:cs="华文楷体"/>
                <w:color w:val="auto"/>
                <w:spacing w:val="20"/>
                <w:kern w:val="1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华文楷体" w:hAnsi="华文楷体" w:eastAsia="华文楷体" w:cs="华文楷体"/>
                <w:color w:val="auto"/>
                <w:spacing w:val="20"/>
                <w:kern w:val="10"/>
                <w:sz w:val="22"/>
                <w:szCs w:val="22"/>
              </w:rPr>
              <w:t>百毒杀（戊二醛苯扎溴铵）</w:t>
            </w:r>
          </w:p>
        </w:tc>
        <w:tc>
          <w:tcPr>
            <w:tcW w:w="2530" w:type="dxa"/>
            <w:shd w:val="clear" w:color="auto" w:fill="auto"/>
            <w:noWrap w:val="0"/>
            <w:vAlign w:val="center"/>
          </w:tcPr>
          <w:p w14:paraId="3AFFACE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pacing w:val="20"/>
                <w:kern w:val="1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pacing w:val="20"/>
                <w:kern w:val="10"/>
                <w:sz w:val="22"/>
                <w:szCs w:val="22"/>
              </w:rPr>
              <w:t>500ml/瓶，戊二醛苯扎溴铵含量5%</w:t>
            </w:r>
          </w:p>
        </w:tc>
        <w:tc>
          <w:tcPr>
            <w:tcW w:w="858" w:type="dxa"/>
            <w:shd w:val="clear" w:color="auto" w:fill="auto"/>
            <w:noWrap w:val="0"/>
            <w:vAlign w:val="center"/>
          </w:tcPr>
          <w:p w14:paraId="1F0A44D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pacing w:val="20"/>
                <w:kern w:val="1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20"/>
                <w:kern w:val="10"/>
                <w:sz w:val="22"/>
                <w:szCs w:val="22"/>
              </w:rPr>
              <w:t>瓶</w:t>
            </w:r>
          </w:p>
        </w:tc>
        <w:tc>
          <w:tcPr>
            <w:tcW w:w="819" w:type="dxa"/>
            <w:shd w:val="clear" w:color="auto" w:fill="auto"/>
            <w:noWrap w:val="0"/>
            <w:vAlign w:val="center"/>
          </w:tcPr>
          <w:p w14:paraId="39110C3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pacing w:val="20"/>
                <w:kern w:val="1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20"/>
                <w:kern w:val="10"/>
                <w:sz w:val="22"/>
                <w:szCs w:val="22"/>
              </w:rPr>
              <w:t>20</w:t>
            </w:r>
          </w:p>
        </w:tc>
        <w:tc>
          <w:tcPr>
            <w:tcW w:w="1225" w:type="dxa"/>
            <w:vMerge w:val="continue"/>
            <w:tcBorders/>
            <w:noWrap w:val="0"/>
            <w:vAlign w:val="center"/>
          </w:tcPr>
          <w:p w14:paraId="2C18AD33">
            <w:pPr>
              <w:widowControl/>
              <w:jc w:val="center"/>
              <w:textAlignment w:val="top"/>
              <w:rPr>
                <w:rFonts w:hint="eastAsia" w:ascii="华文楷体" w:hAnsi="华文楷体" w:eastAsia="华文楷体" w:cs="华文楷体"/>
                <w:sz w:val="22"/>
              </w:rPr>
            </w:pPr>
          </w:p>
        </w:tc>
      </w:tr>
      <w:tr w14:paraId="7642B7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516" w:type="dxa"/>
            <w:shd w:val="clear"/>
            <w:noWrap w:val="0"/>
            <w:vAlign w:val="center"/>
          </w:tcPr>
          <w:p w14:paraId="642C3A5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pacing w:val="20"/>
                <w:kern w:val="1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pacing w:val="20"/>
                <w:kern w:val="10"/>
                <w:sz w:val="21"/>
                <w:szCs w:val="21"/>
                <w:lang w:val="en-US" w:eastAsia="zh-CN"/>
              </w:rPr>
              <w:t>14</w:t>
            </w:r>
          </w:p>
        </w:tc>
        <w:tc>
          <w:tcPr>
            <w:tcW w:w="2139" w:type="dxa"/>
            <w:shd w:val="clear" w:color="auto" w:fill="auto"/>
            <w:noWrap w:val="0"/>
            <w:vAlign w:val="center"/>
          </w:tcPr>
          <w:p w14:paraId="646CA09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华文楷体" w:hAnsi="华文楷体" w:eastAsia="华文楷体" w:cs="华文楷体"/>
                <w:color w:val="auto"/>
                <w:spacing w:val="20"/>
                <w:kern w:val="1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华文楷体" w:hAnsi="华文楷体" w:eastAsia="华文楷体" w:cs="华文楷体"/>
                <w:color w:val="auto"/>
                <w:spacing w:val="20"/>
                <w:kern w:val="10"/>
                <w:sz w:val="22"/>
                <w:szCs w:val="22"/>
              </w:rPr>
              <w:t>过硫酸氢钾复合盐</w:t>
            </w:r>
          </w:p>
        </w:tc>
        <w:tc>
          <w:tcPr>
            <w:tcW w:w="2530" w:type="dxa"/>
            <w:shd w:val="clear" w:color="auto" w:fill="auto"/>
            <w:noWrap w:val="0"/>
            <w:vAlign w:val="center"/>
          </w:tcPr>
          <w:p w14:paraId="7796906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pacing w:val="20"/>
                <w:kern w:val="1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pacing w:val="20"/>
                <w:kern w:val="10"/>
                <w:sz w:val="22"/>
                <w:szCs w:val="22"/>
              </w:rPr>
              <w:t>含量20±2%</w:t>
            </w:r>
          </w:p>
        </w:tc>
        <w:tc>
          <w:tcPr>
            <w:tcW w:w="858" w:type="dxa"/>
            <w:shd w:val="clear" w:color="auto" w:fill="auto"/>
            <w:noWrap w:val="0"/>
            <w:vAlign w:val="center"/>
          </w:tcPr>
          <w:p w14:paraId="0BCB8D1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pacing w:val="20"/>
                <w:kern w:val="1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20"/>
                <w:kern w:val="10"/>
                <w:sz w:val="22"/>
                <w:szCs w:val="22"/>
              </w:rPr>
              <w:t>kg</w:t>
            </w:r>
          </w:p>
        </w:tc>
        <w:tc>
          <w:tcPr>
            <w:tcW w:w="819" w:type="dxa"/>
            <w:shd w:val="clear" w:color="auto" w:fill="auto"/>
            <w:noWrap w:val="0"/>
            <w:vAlign w:val="center"/>
          </w:tcPr>
          <w:p w14:paraId="1117D73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pacing w:val="20"/>
                <w:kern w:val="1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20"/>
                <w:kern w:val="10"/>
                <w:sz w:val="22"/>
                <w:szCs w:val="22"/>
              </w:rPr>
              <w:t>1</w:t>
            </w:r>
          </w:p>
        </w:tc>
        <w:tc>
          <w:tcPr>
            <w:tcW w:w="1225" w:type="dxa"/>
            <w:vMerge w:val="continue"/>
            <w:tcBorders/>
            <w:noWrap w:val="0"/>
            <w:vAlign w:val="center"/>
          </w:tcPr>
          <w:p w14:paraId="255F6C51">
            <w:pPr>
              <w:widowControl/>
              <w:jc w:val="center"/>
              <w:textAlignment w:val="top"/>
              <w:rPr>
                <w:rFonts w:hint="eastAsia" w:ascii="华文楷体" w:hAnsi="华文楷体" w:eastAsia="华文楷体" w:cs="华文楷体"/>
                <w:sz w:val="22"/>
              </w:rPr>
            </w:pPr>
          </w:p>
        </w:tc>
      </w:tr>
      <w:tr w14:paraId="0F1964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516" w:type="dxa"/>
            <w:shd w:val="clear"/>
            <w:noWrap w:val="0"/>
            <w:vAlign w:val="center"/>
          </w:tcPr>
          <w:p w14:paraId="17773CD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pacing w:val="20"/>
                <w:kern w:val="1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pacing w:val="20"/>
                <w:kern w:val="10"/>
                <w:sz w:val="21"/>
                <w:szCs w:val="21"/>
                <w:lang w:val="en-US" w:eastAsia="zh-CN"/>
              </w:rPr>
              <w:t>15</w:t>
            </w:r>
          </w:p>
        </w:tc>
        <w:tc>
          <w:tcPr>
            <w:tcW w:w="2139" w:type="dxa"/>
            <w:shd w:val="clear" w:color="auto" w:fill="auto"/>
            <w:noWrap w:val="0"/>
            <w:vAlign w:val="center"/>
          </w:tcPr>
          <w:p w14:paraId="3F3BA51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华文楷体" w:hAnsi="华文楷体" w:eastAsia="华文楷体" w:cs="华文楷体"/>
                <w:color w:val="auto"/>
                <w:spacing w:val="20"/>
                <w:kern w:val="1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华文楷体" w:hAnsi="华文楷体" w:eastAsia="华文楷体" w:cs="华文楷体"/>
                <w:color w:val="auto"/>
                <w:spacing w:val="20"/>
                <w:kern w:val="10"/>
                <w:sz w:val="22"/>
                <w:szCs w:val="22"/>
              </w:rPr>
              <w:t>琼脂粉</w:t>
            </w:r>
          </w:p>
        </w:tc>
        <w:tc>
          <w:tcPr>
            <w:tcW w:w="2530" w:type="dxa"/>
            <w:shd w:val="clear" w:color="auto" w:fill="auto"/>
            <w:noWrap w:val="0"/>
            <w:vAlign w:val="center"/>
          </w:tcPr>
          <w:p w14:paraId="38DE860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pacing w:val="20"/>
                <w:kern w:val="1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pacing w:val="20"/>
                <w:kern w:val="10"/>
                <w:sz w:val="22"/>
                <w:szCs w:val="22"/>
              </w:rPr>
              <w:t>250g/瓶</w:t>
            </w:r>
          </w:p>
        </w:tc>
        <w:tc>
          <w:tcPr>
            <w:tcW w:w="858" w:type="dxa"/>
            <w:shd w:val="clear" w:color="auto" w:fill="auto"/>
            <w:noWrap w:val="0"/>
            <w:vAlign w:val="center"/>
          </w:tcPr>
          <w:p w14:paraId="0339D9E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20"/>
                <w:kern w:val="10"/>
                <w:sz w:val="22"/>
                <w:szCs w:val="22"/>
              </w:rPr>
              <w:t>瓶</w:t>
            </w:r>
          </w:p>
        </w:tc>
        <w:tc>
          <w:tcPr>
            <w:tcW w:w="819" w:type="dxa"/>
            <w:shd w:val="clear" w:color="auto" w:fill="auto"/>
            <w:noWrap w:val="0"/>
            <w:vAlign w:val="center"/>
          </w:tcPr>
          <w:p w14:paraId="788770F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pacing w:val="20"/>
                <w:kern w:val="1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20"/>
                <w:kern w:val="10"/>
                <w:sz w:val="22"/>
                <w:szCs w:val="22"/>
              </w:rPr>
              <w:t>3</w:t>
            </w:r>
          </w:p>
        </w:tc>
        <w:tc>
          <w:tcPr>
            <w:tcW w:w="1225" w:type="dxa"/>
            <w:vMerge w:val="continue"/>
            <w:tcBorders/>
            <w:noWrap w:val="0"/>
            <w:vAlign w:val="center"/>
          </w:tcPr>
          <w:p w14:paraId="4D509869">
            <w:pPr>
              <w:widowControl/>
              <w:jc w:val="center"/>
              <w:textAlignment w:val="top"/>
              <w:rPr>
                <w:rFonts w:hint="eastAsia" w:ascii="华文楷体" w:hAnsi="华文楷体" w:eastAsia="华文楷体" w:cs="华文楷体"/>
                <w:sz w:val="22"/>
              </w:rPr>
            </w:pPr>
          </w:p>
        </w:tc>
      </w:tr>
      <w:tr w14:paraId="042965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516" w:type="dxa"/>
            <w:shd w:val="clear"/>
            <w:noWrap w:val="0"/>
            <w:vAlign w:val="center"/>
          </w:tcPr>
          <w:p w14:paraId="6D4CADD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pacing w:val="20"/>
                <w:kern w:val="1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pacing w:val="20"/>
                <w:kern w:val="10"/>
                <w:sz w:val="21"/>
                <w:szCs w:val="21"/>
                <w:lang w:val="en-US" w:eastAsia="zh-CN"/>
              </w:rPr>
              <w:t>16</w:t>
            </w:r>
          </w:p>
        </w:tc>
        <w:tc>
          <w:tcPr>
            <w:tcW w:w="2139" w:type="dxa"/>
            <w:shd w:val="clear" w:color="auto" w:fill="auto"/>
            <w:noWrap w:val="0"/>
            <w:vAlign w:val="center"/>
          </w:tcPr>
          <w:p w14:paraId="047A332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华文楷体" w:hAnsi="华文楷体" w:eastAsia="华文楷体" w:cs="华文楷体"/>
                <w:color w:val="auto"/>
                <w:spacing w:val="20"/>
                <w:kern w:val="1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华文楷体" w:hAnsi="华文楷体" w:eastAsia="华文楷体" w:cs="华文楷体"/>
                <w:color w:val="auto"/>
                <w:spacing w:val="20"/>
                <w:kern w:val="10"/>
                <w:sz w:val="22"/>
                <w:szCs w:val="22"/>
                <w:lang w:val="en-US" w:eastAsia="zh-CN"/>
              </w:rPr>
              <w:t>苏丹Ⅲ染色液</w:t>
            </w:r>
          </w:p>
        </w:tc>
        <w:tc>
          <w:tcPr>
            <w:tcW w:w="2530" w:type="dxa"/>
            <w:shd w:val="clear" w:color="auto" w:fill="auto"/>
            <w:noWrap w:val="0"/>
            <w:vAlign w:val="center"/>
          </w:tcPr>
          <w:p w14:paraId="3AC0010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pacing w:val="20"/>
                <w:kern w:val="1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pacing w:val="20"/>
                <w:kern w:val="10"/>
                <w:sz w:val="22"/>
                <w:szCs w:val="22"/>
                <w:lang w:val="en-US" w:eastAsia="zh-CN"/>
              </w:rPr>
              <w:t>0.5%=5mg/ml，500ml/瓶</w:t>
            </w:r>
          </w:p>
        </w:tc>
        <w:tc>
          <w:tcPr>
            <w:tcW w:w="858" w:type="dxa"/>
            <w:shd w:val="clear" w:color="auto" w:fill="auto"/>
            <w:noWrap w:val="0"/>
            <w:vAlign w:val="center"/>
          </w:tcPr>
          <w:p w14:paraId="2677B90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pacing w:val="20"/>
                <w:kern w:val="1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20"/>
                <w:kern w:val="10"/>
                <w:sz w:val="22"/>
                <w:szCs w:val="22"/>
                <w:lang w:val="en-US" w:eastAsia="zh-CN"/>
              </w:rPr>
              <w:t>瓶</w:t>
            </w:r>
          </w:p>
        </w:tc>
        <w:tc>
          <w:tcPr>
            <w:tcW w:w="819" w:type="dxa"/>
            <w:shd w:val="clear" w:color="auto" w:fill="auto"/>
            <w:noWrap w:val="0"/>
            <w:vAlign w:val="center"/>
          </w:tcPr>
          <w:p w14:paraId="2F0FDE1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pacing w:val="20"/>
                <w:kern w:val="1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20"/>
                <w:kern w:val="10"/>
                <w:sz w:val="22"/>
                <w:szCs w:val="22"/>
                <w:lang w:val="en-US" w:eastAsia="zh-CN"/>
              </w:rPr>
              <w:t>15</w:t>
            </w:r>
          </w:p>
        </w:tc>
        <w:tc>
          <w:tcPr>
            <w:tcW w:w="1225" w:type="dxa"/>
            <w:vMerge w:val="continue"/>
            <w:tcBorders/>
            <w:noWrap w:val="0"/>
            <w:vAlign w:val="center"/>
          </w:tcPr>
          <w:p w14:paraId="6EED5A5F">
            <w:pPr>
              <w:widowControl/>
              <w:jc w:val="center"/>
              <w:textAlignment w:val="top"/>
              <w:rPr>
                <w:rFonts w:hint="eastAsia" w:ascii="华文楷体" w:hAnsi="华文楷体" w:eastAsia="华文楷体" w:cs="华文楷体"/>
                <w:sz w:val="22"/>
              </w:rPr>
            </w:pPr>
          </w:p>
        </w:tc>
      </w:tr>
      <w:tr w14:paraId="0E713B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516" w:type="dxa"/>
            <w:shd w:val="clear"/>
            <w:noWrap w:val="0"/>
            <w:vAlign w:val="center"/>
          </w:tcPr>
          <w:p w14:paraId="4BABBE3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pacing w:val="20"/>
                <w:kern w:val="1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pacing w:val="20"/>
                <w:kern w:val="10"/>
                <w:sz w:val="21"/>
                <w:szCs w:val="21"/>
                <w:lang w:val="en-US" w:eastAsia="zh-CN"/>
              </w:rPr>
              <w:t>17</w:t>
            </w:r>
          </w:p>
        </w:tc>
        <w:tc>
          <w:tcPr>
            <w:tcW w:w="2139" w:type="dxa"/>
            <w:shd w:val="clear" w:color="auto" w:fill="auto"/>
            <w:noWrap w:val="0"/>
            <w:vAlign w:val="center"/>
          </w:tcPr>
          <w:p w14:paraId="3D3D0C6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华文楷体" w:hAnsi="华文楷体" w:eastAsia="华文楷体" w:cs="华文楷体"/>
                <w:color w:val="auto"/>
                <w:spacing w:val="20"/>
                <w:kern w:val="1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华文楷体" w:hAnsi="华文楷体" w:eastAsia="华文楷体" w:cs="华文楷体"/>
                <w:color w:val="auto"/>
                <w:spacing w:val="20"/>
                <w:kern w:val="10"/>
                <w:sz w:val="22"/>
                <w:szCs w:val="22"/>
                <w:lang w:val="en-US" w:eastAsia="zh-CN"/>
              </w:rPr>
              <w:t>苏木素染色液</w:t>
            </w:r>
          </w:p>
        </w:tc>
        <w:tc>
          <w:tcPr>
            <w:tcW w:w="2530" w:type="dxa"/>
            <w:shd w:val="clear" w:color="auto" w:fill="auto"/>
            <w:noWrap w:val="0"/>
            <w:vAlign w:val="center"/>
          </w:tcPr>
          <w:p w14:paraId="52B2171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pacing w:val="20"/>
                <w:kern w:val="1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pacing w:val="20"/>
                <w:kern w:val="10"/>
                <w:sz w:val="22"/>
                <w:szCs w:val="22"/>
                <w:lang w:val="en-US" w:eastAsia="zh-CN"/>
              </w:rPr>
              <w:t>500ml/瓶</w:t>
            </w:r>
          </w:p>
        </w:tc>
        <w:tc>
          <w:tcPr>
            <w:tcW w:w="858" w:type="dxa"/>
            <w:shd w:val="clear" w:color="auto" w:fill="auto"/>
            <w:noWrap w:val="0"/>
            <w:vAlign w:val="center"/>
          </w:tcPr>
          <w:p w14:paraId="390FA23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pacing w:val="20"/>
                <w:kern w:val="1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20"/>
                <w:kern w:val="10"/>
                <w:sz w:val="22"/>
                <w:szCs w:val="22"/>
                <w:lang w:val="en-US" w:eastAsia="zh-CN"/>
              </w:rPr>
              <w:t>瓶</w:t>
            </w:r>
          </w:p>
        </w:tc>
        <w:tc>
          <w:tcPr>
            <w:tcW w:w="819" w:type="dxa"/>
            <w:shd w:val="clear" w:color="auto" w:fill="auto"/>
            <w:noWrap w:val="0"/>
            <w:vAlign w:val="center"/>
          </w:tcPr>
          <w:p w14:paraId="38F67F8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pacing w:val="20"/>
                <w:kern w:val="1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20"/>
                <w:kern w:val="10"/>
                <w:sz w:val="22"/>
                <w:szCs w:val="22"/>
                <w:lang w:val="en-US" w:eastAsia="zh-CN"/>
              </w:rPr>
              <w:t>10</w:t>
            </w:r>
          </w:p>
        </w:tc>
        <w:tc>
          <w:tcPr>
            <w:tcW w:w="1225" w:type="dxa"/>
            <w:vMerge w:val="continue"/>
            <w:tcBorders/>
            <w:noWrap w:val="0"/>
            <w:vAlign w:val="center"/>
          </w:tcPr>
          <w:p w14:paraId="08E1B41C">
            <w:pPr>
              <w:widowControl/>
              <w:jc w:val="center"/>
              <w:textAlignment w:val="top"/>
              <w:rPr>
                <w:rFonts w:hint="eastAsia" w:ascii="华文楷体" w:hAnsi="华文楷体" w:eastAsia="华文楷体" w:cs="华文楷体"/>
                <w:sz w:val="22"/>
              </w:rPr>
            </w:pPr>
          </w:p>
        </w:tc>
      </w:tr>
      <w:tr w14:paraId="4992A2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516" w:type="dxa"/>
            <w:shd w:val="clear"/>
            <w:noWrap w:val="0"/>
            <w:vAlign w:val="center"/>
          </w:tcPr>
          <w:p w14:paraId="1443354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pacing w:val="20"/>
                <w:kern w:val="1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pacing w:val="20"/>
                <w:kern w:val="10"/>
                <w:sz w:val="21"/>
                <w:szCs w:val="21"/>
                <w:lang w:val="en-US" w:eastAsia="zh-CN"/>
              </w:rPr>
              <w:t>18</w:t>
            </w:r>
          </w:p>
        </w:tc>
        <w:tc>
          <w:tcPr>
            <w:tcW w:w="2139" w:type="dxa"/>
            <w:shd w:val="clear" w:color="auto" w:fill="auto"/>
            <w:noWrap w:val="0"/>
            <w:vAlign w:val="center"/>
          </w:tcPr>
          <w:p w14:paraId="68D2252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华文楷体" w:hAnsi="华文楷体" w:eastAsia="华文楷体" w:cs="华文楷体"/>
                <w:color w:val="auto"/>
                <w:spacing w:val="20"/>
                <w:kern w:val="1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华文楷体" w:hAnsi="华文楷体" w:eastAsia="华文楷体" w:cs="华文楷体"/>
                <w:color w:val="auto"/>
                <w:spacing w:val="20"/>
                <w:kern w:val="10"/>
                <w:sz w:val="22"/>
                <w:szCs w:val="22"/>
                <w:lang w:val="en-US" w:eastAsia="zh-CN"/>
              </w:rPr>
              <w:t>甘油明胶封片剂</w:t>
            </w:r>
          </w:p>
        </w:tc>
        <w:tc>
          <w:tcPr>
            <w:tcW w:w="2530" w:type="dxa"/>
            <w:shd w:val="clear" w:color="auto" w:fill="auto"/>
            <w:noWrap w:val="0"/>
            <w:vAlign w:val="center"/>
          </w:tcPr>
          <w:p w14:paraId="3E0EBB5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pacing w:val="20"/>
                <w:kern w:val="1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pacing w:val="20"/>
                <w:kern w:val="10"/>
                <w:sz w:val="22"/>
                <w:szCs w:val="22"/>
                <w:lang w:val="en-US" w:eastAsia="zh-CN"/>
              </w:rPr>
              <w:t>10ml/瓶</w:t>
            </w:r>
          </w:p>
        </w:tc>
        <w:tc>
          <w:tcPr>
            <w:tcW w:w="858" w:type="dxa"/>
            <w:shd w:val="clear" w:color="auto" w:fill="auto"/>
            <w:noWrap w:val="0"/>
            <w:vAlign w:val="center"/>
          </w:tcPr>
          <w:p w14:paraId="2145C56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pacing w:val="20"/>
                <w:kern w:val="1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20"/>
                <w:kern w:val="10"/>
                <w:sz w:val="22"/>
                <w:szCs w:val="22"/>
                <w:lang w:val="en-US" w:eastAsia="zh-CN"/>
              </w:rPr>
              <w:t>瓶</w:t>
            </w:r>
          </w:p>
        </w:tc>
        <w:tc>
          <w:tcPr>
            <w:tcW w:w="819" w:type="dxa"/>
            <w:shd w:val="clear" w:color="auto" w:fill="auto"/>
            <w:noWrap w:val="0"/>
            <w:vAlign w:val="center"/>
          </w:tcPr>
          <w:p w14:paraId="19AAA0C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pacing w:val="20"/>
                <w:kern w:val="1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20"/>
                <w:kern w:val="10"/>
                <w:sz w:val="22"/>
                <w:szCs w:val="22"/>
                <w:lang w:val="en-US" w:eastAsia="zh-CN"/>
              </w:rPr>
              <w:t>10</w:t>
            </w:r>
          </w:p>
        </w:tc>
        <w:tc>
          <w:tcPr>
            <w:tcW w:w="1225" w:type="dxa"/>
            <w:vMerge w:val="continue"/>
            <w:tcBorders/>
            <w:noWrap w:val="0"/>
            <w:vAlign w:val="center"/>
          </w:tcPr>
          <w:p w14:paraId="4DA5533E">
            <w:pPr>
              <w:widowControl/>
              <w:jc w:val="center"/>
              <w:textAlignment w:val="top"/>
              <w:rPr>
                <w:rFonts w:hint="eastAsia" w:ascii="华文楷体" w:hAnsi="华文楷体" w:eastAsia="华文楷体" w:cs="华文楷体"/>
                <w:sz w:val="22"/>
              </w:rPr>
            </w:pPr>
          </w:p>
        </w:tc>
      </w:tr>
      <w:tr w14:paraId="6883F4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516" w:type="dxa"/>
            <w:shd w:val="clear"/>
            <w:noWrap w:val="0"/>
            <w:vAlign w:val="center"/>
          </w:tcPr>
          <w:p w14:paraId="42ED04A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pacing w:val="20"/>
                <w:kern w:val="1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pacing w:val="20"/>
                <w:kern w:val="10"/>
                <w:sz w:val="21"/>
                <w:szCs w:val="21"/>
                <w:lang w:val="en-US" w:eastAsia="zh-CN"/>
              </w:rPr>
              <w:t>19</w:t>
            </w:r>
          </w:p>
        </w:tc>
        <w:tc>
          <w:tcPr>
            <w:tcW w:w="2139" w:type="dxa"/>
            <w:shd w:val="clear" w:color="auto" w:fill="auto"/>
            <w:noWrap w:val="0"/>
            <w:vAlign w:val="center"/>
          </w:tcPr>
          <w:p w14:paraId="7A5820D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华文楷体" w:hAnsi="华文楷体" w:eastAsia="华文楷体" w:cs="华文楷体"/>
                <w:color w:val="auto"/>
                <w:spacing w:val="20"/>
                <w:kern w:val="1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华文楷体" w:hAnsi="华文楷体" w:eastAsia="华文楷体" w:cs="华文楷体"/>
                <w:color w:val="auto"/>
                <w:spacing w:val="20"/>
                <w:kern w:val="10"/>
                <w:sz w:val="22"/>
                <w:szCs w:val="22"/>
                <w:lang w:val="en-US" w:eastAsia="zh-CN"/>
              </w:rPr>
              <w:t>oct冰冻包埋剂</w:t>
            </w:r>
          </w:p>
        </w:tc>
        <w:tc>
          <w:tcPr>
            <w:tcW w:w="2530" w:type="dxa"/>
            <w:shd w:val="clear" w:color="auto" w:fill="auto"/>
            <w:noWrap w:val="0"/>
            <w:vAlign w:val="center"/>
          </w:tcPr>
          <w:p w14:paraId="18B8512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pacing w:val="20"/>
                <w:kern w:val="1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pacing w:val="20"/>
                <w:kern w:val="10"/>
                <w:sz w:val="22"/>
                <w:szCs w:val="22"/>
                <w:lang w:val="en-US" w:eastAsia="zh-CN"/>
              </w:rPr>
              <w:t>118ml/瓶</w:t>
            </w:r>
          </w:p>
        </w:tc>
        <w:tc>
          <w:tcPr>
            <w:tcW w:w="858" w:type="dxa"/>
            <w:shd w:val="clear" w:color="auto" w:fill="auto"/>
            <w:noWrap w:val="0"/>
            <w:vAlign w:val="center"/>
          </w:tcPr>
          <w:p w14:paraId="04E2EA1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pacing w:val="20"/>
                <w:kern w:val="1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20"/>
                <w:kern w:val="10"/>
                <w:sz w:val="22"/>
                <w:szCs w:val="22"/>
                <w:lang w:val="en-US" w:eastAsia="zh-CN"/>
              </w:rPr>
              <w:t>瓶</w:t>
            </w:r>
          </w:p>
        </w:tc>
        <w:tc>
          <w:tcPr>
            <w:tcW w:w="819" w:type="dxa"/>
            <w:shd w:val="clear" w:color="auto" w:fill="auto"/>
            <w:noWrap w:val="0"/>
            <w:vAlign w:val="center"/>
          </w:tcPr>
          <w:p w14:paraId="5EF9AE7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pacing w:val="20"/>
                <w:kern w:val="1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20"/>
                <w:kern w:val="10"/>
                <w:sz w:val="22"/>
                <w:szCs w:val="22"/>
                <w:lang w:val="en-US" w:eastAsia="zh-CN"/>
              </w:rPr>
              <w:t>20</w:t>
            </w:r>
          </w:p>
        </w:tc>
        <w:tc>
          <w:tcPr>
            <w:tcW w:w="1225" w:type="dxa"/>
            <w:vMerge w:val="continue"/>
            <w:tcBorders/>
            <w:noWrap w:val="0"/>
            <w:vAlign w:val="center"/>
          </w:tcPr>
          <w:p w14:paraId="355DF195">
            <w:pPr>
              <w:widowControl/>
              <w:jc w:val="center"/>
              <w:textAlignment w:val="top"/>
              <w:rPr>
                <w:rFonts w:hint="eastAsia" w:ascii="华文楷体" w:hAnsi="华文楷体" w:eastAsia="华文楷体" w:cs="华文楷体"/>
                <w:sz w:val="22"/>
              </w:rPr>
            </w:pPr>
          </w:p>
        </w:tc>
      </w:tr>
      <w:tr w14:paraId="64061B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516" w:type="dxa"/>
            <w:shd w:val="clear"/>
            <w:noWrap w:val="0"/>
            <w:vAlign w:val="center"/>
          </w:tcPr>
          <w:p w14:paraId="517CF2E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pacing w:val="20"/>
                <w:kern w:val="1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pacing w:val="20"/>
                <w:kern w:val="10"/>
                <w:sz w:val="21"/>
                <w:szCs w:val="21"/>
                <w:lang w:val="en-US" w:eastAsia="zh-CN"/>
              </w:rPr>
              <w:t>20</w:t>
            </w:r>
          </w:p>
        </w:tc>
        <w:tc>
          <w:tcPr>
            <w:tcW w:w="2139" w:type="dxa"/>
            <w:shd w:val="clear" w:color="auto" w:fill="auto"/>
            <w:noWrap w:val="0"/>
            <w:vAlign w:val="center"/>
          </w:tcPr>
          <w:p w14:paraId="62B1FE9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华文楷体" w:hAnsi="华文楷体" w:eastAsia="华文楷体" w:cs="华文楷体"/>
                <w:color w:val="auto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华文楷体" w:hAnsi="华文楷体" w:eastAsia="华文楷体" w:cs="华文楷体"/>
                <w:color w:val="auto"/>
                <w:sz w:val="22"/>
                <w:szCs w:val="22"/>
              </w:rPr>
              <w:t>全自动生化分析仪用清洗剂 抗菌无磷清洗剂HITERGENT®</w:t>
            </w:r>
          </w:p>
        </w:tc>
        <w:tc>
          <w:tcPr>
            <w:tcW w:w="2530" w:type="dxa"/>
            <w:shd w:val="clear" w:color="auto" w:fill="auto"/>
            <w:noWrap w:val="0"/>
            <w:vAlign w:val="center"/>
          </w:tcPr>
          <w:p w14:paraId="47F55BC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2"/>
                <w:szCs w:val="22"/>
              </w:rPr>
              <w:t>500mL/瓶，适用于日立7080全自动生化分析仪。设备配套。</w:t>
            </w:r>
          </w:p>
        </w:tc>
        <w:tc>
          <w:tcPr>
            <w:tcW w:w="858" w:type="dxa"/>
            <w:shd w:val="clear" w:color="auto" w:fill="auto"/>
            <w:noWrap w:val="0"/>
            <w:vAlign w:val="center"/>
          </w:tcPr>
          <w:p w14:paraId="5628496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  <w:t>瓶</w:t>
            </w:r>
          </w:p>
        </w:tc>
        <w:tc>
          <w:tcPr>
            <w:tcW w:w="819" w:type="dxa"/>
            <w:shd w:val="clear" w:color="auto" w:fill="auto"/>
            <w:noWrap w:val="0"/>
            <w:vAlign w:val="center"/>
          </w:tcPr>
          <w:p w14:paraId="30BC733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  <w:t>1</w:t>
            </w:r>
          </w:p>
        </w:tc>
        <w:tc>
          <w:tcPr>
            <w:tcW w:w="1225" w:type="dxa"/>
            <w:vMerge w:val="continue"/>
            <w:tcBorders/>
            <w:noWrap w:val="0"/>
            <w:vAlign w:val="center"/>
          </w:tcPr>
          <w:p w14:paraId="71E788B3">
            <w:pPr>
              <w:widowControl/>
              <w:jc w:val="center"/>
              <w:textAlignment w:val="top"/>
              <w:rPr>
                <w:rFonts w:hint="eastAsia" w:ascii="华文楷体" w:hAnsi="华文楷体" w:eastAsia="华文楷体" w:cs="华文楷体"/>
                <w:sz w:val="22"/>
              </w:rPr>
            </w:pPr>
          </w:p>
        </w:tc>
      </w:tr>
      <w:tr w14:paraId="0A1CE0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516" w:type="dxa"/>
            <w:shd w:val="clear"/>
            <w:noWrap w:val="0"/>
            <w:vAlign w:val="center"/>
          </w:tcPr>
          <w:p w14:paraId="02C21B2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pacing w:val="20"/>
                <w:kern w:val="1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pacing w:val="20"/>
                <w:kern w:val="10"/>
                <w:sz w:val="21"/>
                <w:szCs w:val="21"/>
                <w:lang w:val="en-US" w:eastAsia="zh-CN"/>
              </w:rPr>
              <w:t>21</w:t>
            </w:r>
          </w:p>
        </w:tc>
        <w:tc>
          <w:tcPr>
            <w:tcW w:w="2139" w:type="dxa"/>
            <w:shd w:val="clear" w:color="auto" w:fill="auto"/>
            <w:noWrap w:val="0"/>
            <w:vAlign w:val="center"/>
          </w:tcPr>
          <w:p w14:paraId="43D2C1B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华文楷体" w:hAnsi="华文楷体" w:eastAsia="华文楷体" w:cs="华文楷体"/>
                <w:color w:val="auto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华文楷体" w:hAnsi="华文楷体" w:eastAsia="华文楷体" w:cs="华文楷体"/>
                <w:color w:val="auto"/>
                <w:sz w:val="22"/>
                <w:szCs w:val="22"/>
              </w:rPr>
              <w:t>全自动生化分析仪用清洗剂 碱性清洗剂HIALKALI-D®</w:t>
            </w:r>
          </w:p>
        </w:tc>
        <w:tc>
          <w:tcPr>
            <w:tcW w:w="2530" w:type="dxa"/>
            <w:shd w:val="clear" w:color="auto" w:fill="auto"/>
            <w:noWrap w:val="0"/>
            <w:vAlign w:val="center"/>
          </w:tcPr>
          <w:p w14:paraId="3AA7953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2"/>
                <w:szCs w:val="22"/>
              </w:rPr>
              <w:t>2L/瓶</w:t>
            </w:r>
            <w:r>
              <w:rPr>
                <w:rFonts w:hint="eastAsia" w:ascii="仿宋" w:hAnsi="仿宋" w:eastAsia="仿宋" w:cs="仿宋"/>
                <w:color w:val="auto"/>
                <w:sz w:val="22"/>
                <w:szCs w:val="22"/>
                <w:lang w:eastAsia="zh-CN"/>
              </w:rPr>
              <w:t>，</w:t>
            </w:r>
            <w:r>
              <w:rPr>
                <w:rFonts w:hint="eastAsia" w:ascii="仿宋" w:hAnsi="仿宋" w:eastAsia="仿宋" w:cs="仿宋"/>
                <w:color w:val="auto"/>
                <w:sz w:val="22"/>
                <w:szCs w:val="22"/>
              </w:rPr>
              <w:t>适用于日立7080全自动生化分析仪。设备配套。</w:t>
            </w:r>
          </w:p>
        </w:tc>
        <w:tc>
          <w:tcPr>
            <w:tcW w:w="858" w:type="dxa"/>
            <w:shd w:val="clear" w:color="auto" w:fill="auto"/>
            <w:noWrap w:val="0"/>
            <w:vAlign w:val="center"/>
          </w:tcPr>
          <w:p w14:paraId="11CF2BB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  <w:t>瓶</w:t>
            </w:r>
          </w:p>
        </w:tc>
        <w:tc>
          <w:tcPr>
            <w:tcW w:w="819" w:type="dxa"/>
            <w:shd w:val="clear" w:color="auto" w:fill="auto"/>
            <w:noWrap w:val="0"/>
            <w:vAlign w:val="center"/>
          </w:tcPr>
          <w:p w14:paraId="636D68D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  <w:t>1</w:t>
            </w:r>
          </w:p>
        </w:tc>
        <w:tc>
          <w:tcPr>
            <w:tcW w:w="1225" w:type="dxa"/>
            <w:vMerge w:val="continue"/>
            <w:tcBorders/>
            <w:noWrap w:val="0"/>
            <w:vAlign w:val="center"/>
          </w:tcPr>
          <w:p w14:paraId="396F8FBD">
            <w:pPr>
              <w:widowControl/>
              <w:jc w:val="center"/>
              <w:textAlignment w:val="top"/>
              <w:rPr>
                <w:rFonts w:hint="eastAsia" w:ascii="华文楷体" w:hAnsi="华文楷体" w:eastAsia="华文楷体" w:cs="华文楷体"/>
                <w:sz w:val="22"/>
              </w:rPr>
            </w:pPr>
          </w:p>
        </w:tc>
      </w:tr>
      <w:tr w14:paraId="6B81C9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516" w:type="dxa"/>
            <w:shd w:val="clear"/>
            <w:noWrap w:val="0"/>
            <w:vAlign w:val="center"/>
          </w:tcPr>
          <w:p w14:paraId="45A4EC2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pacing w:val="20"/>
                <w:kern w:val="1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pacing w:val="20"/>
                <w:kern w:val="10"/>
                <w:sz w:val="21"/>
                <w:szCs w:val="21"/>
                <w:lang w:val="en-US" w:eastAsia="zh-CN"/>
              </w:rPr>
              <w:t>22</w:t>
            </w:r>
          </w:p>
        </w:tc>
        <w:tc>
          <w:tcPr>
            <w:tcW w:w="2139" w:type="dxa"/>
            <w:shd w:val="clear" w:color="auto" w:fill="auto"/>
            <w:noWrap w:val="0"/>
            <w:vAlign w:val="center"/>
          </w:tcPr>
          <w:p w14:paraId="3317E91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华文楷体" w:hAnsi="华文楷体" w:eastAsia="华文楷体" w:cs="华文楷体"/>
                <w:color w:val="auto"/>
                <w:spacing w:val="20"/>
                <w:kern w:val="1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华文楷体" w:hAnsi="华文楷体" w:eastAsia="华文楷体" w:cs="华文楷体"/>
                <w:color w:val="auto"/>
                <w:sz w:val="22"/>
                <w:szCs w:val="22"/>
                <w:highlight w:val="none"/>
                <w:lang w:val="en-US" w:eastAsia="zh-CN"/>
              </w:rPr>
              <w:t>丙二醛（MDA）测定试剂盒（TBA法）</w:t>
            </w:r>
          </w:p>
        </w:tc>
        <w:tc>
          <w:tcPr>
            <w:tcW w:w="2530" w:type="dxa"/>
            <w:shd w:val="clear" w:color="auto" w:fill="auto"/>
            <w:noWrap w:val="0"/>
            <w:vAlign w:val="center"/>
          </w:tcPr>
          <w:p w14:paraId="40D8BD6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pacing w:val="20"/>
                <w:kern w:val="1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pacing w:val="20"/>
                <w:kern w:val="10"/>
                <w:sz w:val="22"/>
                <w:szCs w:val="22"/>
                <w:highlight w:val="none"/>
              </w:rPr>
              <w:t>96样/盒，适用于大</w:t>
            </w:r>
            <w:r>
              <w:rPr>
                <w:rFonts w:hint="eastAsia" w:ascii="仿宋" w:hAnsi="仿宋" w:eastAsia="仿宋" w:cs="仿宋"/>
                <w:color w:val="auto"/>
                <w:spacing w:val="20"/>
                <w:kern w:val="10"/>
                <w:sz w:val="22"/>
                <w:szCs w:val="22"/>
                <w:highlight w:val="none"/>
                <w:lang w:eastAsia="zh-CN"/>
              </w:rPr>
              <w:t>、</w:t>
            </w:r>
            <w:r>
              <w:rPr>
                <w:rFonts w:hint="eastAsia" w:ascii="仿宋" w:hAnsi="仿宋" w:eastAsia="仿宋" w:cs="仿宋"/>
                <w:color w:val="auto"/>
                <w:spacing w:val="20"/>
                <w:kern w:val="10"/>
                <w:sz w:val="22"/>
                <w:szCs w:val="22"/>
                <w:highlight w:val="none"/>
                <w:lang w:val="en-US" w:eastAsia="zh-CN"/>
              </w:rPr>
              <w:t>小</w:t>
            </w:r>
            <w:r>
              <w:rPr>
                <w:rFonts w:hint="eastAsia" w:ascii="仿宋" w:hAnsi="仿宋" w:eastAsia="仿宋" w:cs="仿宋"/>
                <w:color w:val="auto"/>
                <w:spacing w:val="20"/>
                <w:kern w:val="10"/>
                <w:sz w:val="22"/>
                <w:szCs w:val="22"/>
                <w:highlight w:val="none"/>
              </w:rPr>
              <w:t>鼠血清和组织，适用于分光光度计/酶标仪。</w:t>
            </w:r>
            <w:r>
              <w:rPr>
                <w:rFonts w:hint="eastAsia" w:ascii="仿宋" w:hAnsi="仿宋" w:eastAsia="仿宋" w:cs="仿宋"/>
                <w:color w:val="auto"/>
                <w:spacing w:val="20"/>
                <w:kern w:val="10"/>
                <w:sz w:val="22"/>
                <w:szCs w:val="22"/>
                <w:highlight w:val="none"/>
                <w:lang w:val="en-US" w:eastAsia="zh-CN"/>
              </w:rPr>
              <w:t>。</w:t>
            </w:r>
          </w:p>
        </w:tc>
        <w:tc>
          <w:tcPr>
            <w:tcW w:w="858" w:type="dxa"/>
            <w:shd w:val="clear" w:color="auto" w:fill="auto"/>
            <w:noWrap w:val="0"/>
            <w:vAlign w:val="center"/>
          </w:tcPr>
          <w:p w14:paraId="7294E86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pacing w:val="20"/>
                <w:kern w:val="1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20"/>
                <w:kern w:val="10"/>
                <w:sz w:val="22"/>
                <w:szCs w:val="22"/>
                <w:highlight w:val="none"/>
              </w:rPr>
              <w:t>盒</w:t>
            </w:r>
          </w:p>
        </w:tc>
        <w:tc>
          <w:tcPr>
            <w:tcW w:w="819" w:type="dxa"/>
            <w:shd w:val="clear" w:color="auto" w:fill="auto"/>
            <w:noWrap w:val="0"/>
            <w:vAlign w:val="center"/>
          </w:tcPr>
          <w:p w14:paraId="6E95D6A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pacing w:val="20"/>
                <w:kern w:val="1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20"/>
                <w:kern w:val="10"/>
                <w:sz w:val="22"/>
                <w:szCs w:val="22"/>
                <w:highlight w:val="none"/>
                <w:lang w:val="en-US" w:eastAsia="zh-CN"/>
              </w:rPr>
              <w:t>4</w:t>
            </w:r>
          </w:p>
        </w:tc>
        <w:tc>
          <w:tcPr>
            <w:tcW w:w="1225" w:type="dxa"/>
            <w:vMerge w:val="continue"/>
            <w:tcBorders/>
            <w:noWrap w:val="0"/>
            <w:vAlign w:val="center"/>
          </w:tcPr>
          <w:p w14:paraId="176A7FB0">
            <w:pPr>
              <w:widowControl/>
              <w:jc w:val="center"/>
              <w:textAlignment w:val="top"/>
              <w:rPr>
                <w:rFonts w:hint="eastAsia" w:ascii="华文楷体" w:hAnsi="华文楷体" w:eastAsia="华文楷体" w:cs="华文楷体"/>
                <w:sz w:val="22"/>
              </w:rPr>
            </w:pPr>
          </w:p>
        </w:tc>
      </w:tr>
      <w:tr w14:paraId="41299A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516" w:type="dxa"/>
            <w:shd w:val="clear"/>
            <w:noWrap w:val="0"/>
            <w:vAlign w:val="center"/>
          </w:tcPr>
          <w:p w14:paraId="7CA4C42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pacing w:val="20"/>
                <w:kern w:val="1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pacing w:val="20"/>
                <w:kern w:val="10"/>
                <w:sz w:val="21"/>
                <w:szCs w:val="21"/>
                <w:lang w:val="en-US" w:eastAsia="zh-CN"/>
              </w:rPr>
              <w:t>23</w:t>
            </w:r>
          </w:p>
        </w:tc>
        <w:tc>
          <w:tcPr>
            <w:tcW w:w="2139" w:type="dxa"/>
            <w:shd w:val="clear" w:color="auto" w:fill="auto"/>
            <w:noWrap w:val="0"/>
            <w:vAlign w:val="center"/>
          </w:tcPr>
          <w:p w14:paraId="5A3C588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华文楷体" w:hAnsi="华文楷体" w:eastAsia="华文楷体" w:cs="华文楷体"/>
                <w:color w:val="auto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华文楷体" w:hAnsi="华文楷体" w:eastAsia="华文楷体" w:cs="华文楷体"/>
                <w:color w:val="auto"/>
                <w:sz w:val="22"/>
                <w:szCs w:val="22"/>
                <w:highlight w:val="none"/>
                <w:lang w:val="en-US" w:eastAsia="zh-CN"/>
              </w:rPr>
              <w:t>还原型谷胱甘肽（GSH）测定试剂盒（分光光度法）</w:t>
            </w:r>
          </w:p>
        </w:tc>
        <w:tc>
          <w:tcPr>
            <w:tcW w:w="2530" w:type="dxa"/>
            <w:shd w:val="clear" w:color="auto" w:fill="auto"/>
            <w:noWrap w:val="0"/>
            <w:vAlign w:val="center"/>
          </w:tcPr>
          <w:p w14:paraId="273D948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pacing w:val="20"/>
                <w:kern w:val="1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pacing w:val="20"/>
                <w:kern w:val="10"/>
                <w:sz w:val="22"/>
                <w:szCs w:val="22"/>
                <w:highlight w:val="none"/>
              </w:rPr>
              <w:t>96样/盒，适用于大</w:t>
            </w:r>
            <w:r>
              <w:rPr>
                <w:rFonts w:hint="eastAsia" w:ascii="仿宋" w:hAnsi="仿宋" w:eastAsia="仿宋" w:cs="仿宋"/>
                <w:color w:val="auto"/>
                <w:spacing w:val="20"/>
                <w:kern w:val="10"/>
                <w:sz w:val="22"/>
                <w:szCs w:val="22"/>
                <w:highlight w:val="none"/>
                <w:lang w:eastAsia="zh-CN"/>
              </w:rPr>
              <w:t>、</w:t>
            </w:r>
            <w:r>
              <w:rPr>
                <w:rFonts w:hint="eastAsia" w:ascii="仿宋" w:hAnsi="仿宋" w:eastAsia="仿宋" w:cs="仿宋"/>
                <w:color w:val="auto"/>
                <w:spacing w:val="20"/>
                <w:kern w:val="10"/>
                <w:sz w:val="22"/>
                <w:szCs w:val="22"/>
                <w:highlight w:val="none"/>
                <w:lang w:val="en-US" w:eastAsia="zh-CN"/>
              </w:rPr>
              <w:t>小</w:t>
            </w:r>
            <w:r>
              <w:rPr>
                <w:rFonts w:hint="eastAsia" w:ascii="仿宋" w:hAnsi="仿宋" w:eastAsia="仿宋" w:cs="仿宋"/>
                <w:color w:val="auto"/>
                <w:spacing w:val="20"/>
                <w:kern w:val="10"/>
                <w:sz w:val="22"/>
                <w:szCs w:val="22"/>
                <w:highlight w:val="none"/>
              </w:rPr>
              <w:t>鼠血清和组织，适用于分光光度计/酶标仪。</w:t>
            </w:r>
          </w:p>
        </w:tc>
        <w:tc>
          <w:tcPr>
            <w:tcW w:w="858" w:type="dxa"/>
            <w:shd w:val="clear" w:color="auto" w:fill="auto"/>
            <w:noWrap w:val="0"/>
            <w:vAlign w:val="center"/>
          </w:tcPr>
          <w:p w14:paraId="77AB7D4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pacing w:val="20"/>
                <w:kern w:val="1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20"/>
                <w:kern w:val="10"/>
                <w:sz w:val="22"/>
                <w:szCs w:val="22"/>
                <w:highlight w:val="none"/>
              </w:rPr>
              <w:t>盒</w:t>
            </w:r>
          </w:p>
        </w:tc>
        <w:tc>
          <w:tcPr>
            <w:tcW w:w="819" w:type="dxa"/>
            <w:shd w:val="clear" w:color="auto" w:fill="auto"/>
            <w:noWrap w:val="0"/>
            <w:vAlign w:val="center"/>
          </w:tcPr>
          <w:p w14:paraId="4623648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pacing w:val="20"/>
                <w:kern w:val="1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20"/>
                <w:kern w:val="10"/>
                <w:sz w:val="22"/>
                <w:szCs w:val="22"/>
                <w:highlight w:val="none"/>
                <w:lang w:val="en-US" w:eastAsia="zh-CN"/>
              </w:rPr>
              <w:t>4</w:t>
            </w:r>
          </w:p>
        </w:tc>
        <w:tc>
          <w:tcPr>
            <w:tcW w:w="1225" w:type="dxa"/>
            <w:vMerge w:val="continue"/>
            <w:tcBorders/>
            <w:noWrap w:val="0"/>
            <w:vAlign w:val="center"/>
          </w:tcPr>
          <w:p w14:paraId="5B8C4E5B">
            <w:pPr>
              <w:widowControl/>
              <w:jc w:val="center"/>
              <w:textAlignment w:val="top"/>
              <w:rPr>
                <w:rFonts w:hint="eastAsia" w:ascii="华文楷体" w:hAnsi="华文楷体" w:eastAsia="华文楷体" w:cs="华文楷体"/>
                <w:sz w:val="22"/>
              </w:rPr>
            </w:pPr>
          </w:p>
        </w:tc>
      </w:tr>
      <w:tr w14:paraId="204B42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516" w:type="dxa"/>
            <w:shd w:val="clear"/>
            <w:noWrap w:val="0"/>
            <w:vAlign w:val="center"/>
          </w:tcPr>
          <w:p w14:paraId="0D99177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pacing w:val="20"/>
                <w:kern w:val="1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pacing w:val="20"/>
                <w:kern w:val="10"/>
                <w:sz w:val="21"/>
                <w:szCs w:val="21"/>
                <w:lang w:val="en-US" w:eastAsia="zh-CN"/>
              </w:rPr>
              <w:t>24</w:t>
            </w:r>
          </w:p>
        </w:tc>
        <w:tc>
          <w:tcPr>
            <w:tcW w:w="2139" w:type="dxa"/>
            <w:shd w:val="clear" w:color="auto" w:fill="auto"/>
            <w:noWrap w:val="0"/>
            <w:vAlign w:val="center"/>
          </w:tcPr>
          <w:p w14:paraId="2C0F1E6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华文楷体" w:hAnsi="华文楷体" w:eastAsia="华文楷体" w:cs="华文楷体"/>
                <w:color w:val="auto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华文楷体" w:hAnsi="华文楷体" w:eastAsia="华文楷体" w:cs="华文楷体"/>
                <w:color w:val="auto"/>
                <w:sz w:val="22"/>
                <w:szCs w:val="22"/>
                <w:highlight w:val="none"/>
                <w:lang w:val="en-US" w:eastAsia="zh-CN"/>
              </w:rPr>
              <w:fldChar w:fldCharType="begin"/>
            </w:r>
            <w:r>
              <w:rPr>
                <w:rFonts w:hint="eastAsia" w:ascii="华文楷体" w:hAnsi="华文楷体" w:eastAsia="华文楷体" w:cs="华文楷体"/>
                <w:color w:val="auto"/>
                <w:sz w:val="22"/>
                <w:szCs w:val="22"/>
                <w:highlight w:val="none"/>
                <w:lang w:val="en-US" w:eastAsia="zh-CN"/>
              </w:rPr>
              <w:instrText xml:space="preserve"> HYPERLINK "http://www.njjcbio.com/products.asp?id=355" \t "http://www.njjcbio.com/_blank" </w:instrText>
            </w:r>
            <w:r>
              <w:rPr>
                <w:rFonts w:hint="eastAsia" w:ascii="华文楷体" w:hAnsi="华文楷体" w:eastAsia="华文楷体" w:cs="华文楷体"/>
                <w:color w:val="auto"/>
                <w:sz w:val="22"/>
                <w:szCs w:val="22"/>
                <w:highlight w:val="none"/>
                <w:lang w:val="en-US" w:eastAsia="zh-CN"/>
              </w:rPr>
              <w:fldChar w:fldCharType="separate"/>
            </w:r>
            <w:r>
              <w:rPr>
                <w:rFonts w:hint="eastAsia" w:ascii="华文楷体" w:hAnsi="华文楷体" w:eastAsia="华文楷体" w:cs="华文楷体"/>
                <w:color w:val="auto"/>
                <w:sz w:val="22"/>
                <w:szCs w:val="22"/>
                <w:highlight w:val="none"/>
                <w:lang w:val="en-US" w:eastAsia="zh-CN"/>
              </w:rPr>
              <w:t>总蛋白（TP）测定试剂盒（带标准：考马斯亮蓝法）</w:t>
            </w:r>
            <w:r>
              <w:rPr>
                <w:rFonts w:hint="eastAsia" w:ascii="华文楷体" w:hAnsi="华文楷体" w:eastAsia="华文楷体" w:cs="华文楷体"/>
                <w:color w:val="auto"/>
                <w:sz w:val="22"/>
                <w:szCs w:val="22"/>
                <w:highlight w:val="none"/>
                <w:lang w:val="en-US" w:eastAsia="zh-CN"/>
              </w:rPr>
              <w:fldChar w:fldCharType="end"/>
            </w:r>
          </w:p>
        </w:tc>
        <w:tc>
          <w:tcPr>
            <w:tcW w:w="2530" w:type="dxa"/>
            <w:shd w:val="clear" w:color="auto" w:fill="auto"/>
            <w:noWrap w:val="0"/>
            <w:vAlign w:val="center"/>
          </w:tcPr>
          <w:p w14:paraId="562E484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pacing w:val="20"/>
                <w:kern w:val="10"/>
                <w:sz w:val="22"/>
                <w:szCs w:val="22"/>
                <w:highlight w:val="none"/>
              </w:rPr>
              <w:t>96样/盒，适用于大</w:t>
            </w:r>
            <w:r>
              <w:rPr>
                <w:rFonts w:hint="eastAsia" w:ascii="仿宋" w:hAnsi="仿宋" w:eastAsia="仿宋" w:cs="仿宋"/>
                <w:color w:val="auto"/>
                <w:spacing w:val="20"/>
                <w:kern w:val="10"/>
                <w:sz w:val="22"/>
                <w:szCs w:val="22"/>
                <w:highlight w:val="none"/>
                <w:lang w:eastAsia="zh-CN"/>
              </w:rPr>
              <w:t>、</w:t>
            </w:r>
            <w:r>
              <w:rPr>
                <w:rFonts w:hint="eastAsia" w:ascii="仿宋" w:hAnsi="仿宋" w:eastAsia="仿宋" w:cs="仿宋"/>
                <w:color w:val="auto"/>
                <w:spacing w:val="20"/>
                <w:kern w:val="10"/>
                <w:sz w:val="22"/>
                <w:szCs w:val="22"/>
                <w:highlight w:val="none"/>
                <w:lang w:val="en-US" w:eastAsia="zh-CN"/>
              </w:rPr>
              <w:t>小</w:t>
            </w:r>
            <w:r>
              <w:rPr>
                <w:rFonts w:hint="eastAsia" w:ascii="仿宋" w:hAnsi="仿宋" w:eastAsia="仿宋" w:cs="仿宋"/>
                <w:color w:val="auto"/>
                <w:spacing w:val="20"/>
                <w:kern w:val="10"/>
                <w:sz w:val="22"/>
                <w:szCs w:val="22"/>
                <w:highlight w:val="none"/>
              </w:rPr>
              <w:t>鼠血清和组织，与上述丙二醛和还原型谷胱甘肽配套使用，适用于分光光度计/酶标仪。</w:t>
            </w:r>
          </w:p>
        </w:tc>
        <w:tc>
          <w:tcPr>
            <w:tcW w:w="858" w:type="dxa"/>
            <w:shd w:val="clear" w:color="auto" w:fill="auto"/>
            <w:noWrap w:val="0"/>
            <w:vAlign w:val="center"/>
          </w:tcPr>
          <w:p w14:paraId="2B89B5A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  <w:highlight w:val="none"/>
                <w:lang w:val="en-US" w:eastAsia="zh-CN"/>
              </w:rPr>
              <w:t>盒</w:t>
            </w:r>
          </w:p>
        </w:tc>
        <w:tc>
          <w:tcPr>
            <w:tcW w:w="819" w:type="dxa"/>
            <w:shd w:val="clear" w:color="auto" w:fill="auto"/>
            <w:noWrap w:val="0"/>
            <w:vAlign w:val="center"/>
          </w:tcPr>
          <w:p w14:paraId="3F1235D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20"/>
                <w:kern w:val="10"/>
                <w:sz w:val="22"/>
                <w:szCs w:val="22"/>
                <w:highlight w:val="none"/>
                <w:lang w:val="en-US" w:eastAsia="zh-CN"/>
              </w:rPr>
              <w:t>3</w:t>
            </w:r>
          </w:p>
        </w:tc>
        <w:tc>
          <w:tcPr>
            <w:tcW w:w="1225" w:type="dxa"/>
            <w:vMerge w:val="continue"/>
            <w:tcBorders/>
            <w:noWrap w:val="0"/>
            <w:vAlign w:val="center"/>
          </w:tcPr>
          <w:p w14:paraId="7FE0D67E">
            <w:pPr>
              <w:widowControl/>
              <w:jc w:val="center"/>
              <w:textAlignment w:val="top"/>
              <w:rPr>
                <w:rFonts w:hint="eastAsia" w:ascii="华文楷体" w:hAnsi="华文楷体" w:eastAsia="华文楷体" w:cs="华文楷体"/>
                <w:sz w:val="22"/>
              </w:rPr>
            </w:pPr>
          </w:p>
        </w:tc>
      </w:tr>
      <w:tr w14:paraId="6BC693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516" w:type="dxa"/>
            <w:shd w:val="clear"/>
            <w:noWrap w:val="0"/>
            <w:vAlign w:val="center"/>
          </w:tcPr>
          <w:p w14:paraId="45277D6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pacing w:val="20"/>
                <w:kern w:val="1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pacing w:val="20"/>
                <w:kern w:val="10"/>
                <w:sz w:val="21"/>
                <w:szCs w:val="21"/>
                <w:lang w:val="en-US" w:eastAsia="zh-CN"/>
              </w:rPr>
              <w:t>25</w:t>
            </w:r>
          </w:p>
        </w:tc>
        <w:tc>
          <w:tcPr>
            <w:tcW w:w="2139" w:type="dxa"/>
            <w:shd w:val="clear" w:color="auto" w:fill="auto"/>
            <w:noWrap w:val="0"/>
            <w:vAlign w:val="center"/>
          </w:tcPr>
          <w:p w14:paraId="572524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楷体" w:hAnsi="华文楷体" w:eastAsia="华文楷体" w:cs="华文楷体"/>
                <w:i w:val="0"/>
                <w:iCs w:val="0"/>
                <w:color w:val="0070C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华文楷体" w:hAnsi="华文楷体" w:eastAsia="华文楷体" w:cs="华文楷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甘油三酯（TG）测定试剂盒（单试剂GPO-PAP法）（分光光度计）</w:t>
            </w:r>
          </w:p>
        </w:tc>
        <w:tc>
          <w:tcPr>
            <w:tcW w:w="2530" w:type="dxa"/>
            <w:shd w:val="clear" w:color="auto" w:fill="auto"/>
            <w:noWrap w:val="0"/>
            <w:vAlign w:val="center"/>
          </w:tcPr>
          <w:p w14:paraId="6BA023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2"/>
                <w:szCs w:val="22"/>
                <w:highlight w:val="none"/>
                <w:lang w:val="en-US" w:eastAsia="zh-CN"/>
              </w:rPr>
              <w:t>96样/盒，适用于大、小鼠血清和组织，适用于分光光度计。</w:t>
            </w:r>
          </w:p>
        </w:tc>
        <w:tc>
          <w:tcPr>
            <w:tcW w:w="858" w:type="dxa"/>
            <w:shd w:val="clear" w:color="auto" w:fill="auto"/>
            <w:noWrap w:val="0"/>
            <w:vAlign w:val="center"/>
          </w:tcPr>
          <w:p w14:paraId="42CF4D3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pacing w:val="20"/>
                <w:kern w:val="1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20"/>
                <w:kern w:val="10"/>
                <w:sz w:val="22"/>
                <w:szCs w:val="22"/>
                <w:lang w:val="en-US" w:eastAsia="zh-CN"/>
              </w:rPr>
              <w:t>盒</w:t>
            </w:r>
          </w:p>
        </w:tc>
        <w:tc>
          <w:tcPr>
            <w:tcW w:w="819" w:type="dxa"/>
            <w:shd w:val="clear" w:color="auto" w:fill="auto"/>
            <w:noWrap w:val="0"/>
            <w:vAlign w:val="center"/>
          </w:tcPr>
          <w:p w14:paraId="4095805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pacing w:val="20"/>
                <w:kern w:val="1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20"/>
                <w:kern w:val="10"/>
                <w:sz w:val="22"/>
                <w:szCs w:val="22"/>
                <w:lang w:val="en-US" w:eastAsia="zh-CN" w:bidi="ar-SA"/>
              </w:rPr>
              <w:t>4</w:t>
            </w:r>
          </w:p>
        </w:tc>
        <w:tc>
          <w:tcPr>
            <w:tcW w:w="1225" w:type="dxa"/>
            <w:vMerge w:val="continue"/>
            <w:tcBorders/>
            <w:noWrap w:val="0"/>
            <w:vAlign w:val="center"/>
          </w:tcPr>
          <w:p w14:paraId="4CDDEC0E">
            <w:pPr>
              <w:widowControl/>
              <w:jc w:val="center"/>
              <w:textAlignment w:val="top"/>
              <w:rPr>
                <w:rFonts w:hint="eastAsia" w:ascii="华文楷体" w:hAnsi="华文楷体" w:eastAsia="华文楷体" w:cs="华文楷体"/>
                <w:sz w:val="22"/>
              </w:rPr>
            </w:pPr>
          </w:p>
        </w:tc>
      </w:tr>
      <w:tr w14:paraId="5B78E3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516" w:type="dxa"/>
            <w:shd w:val="clear"/>
            <w:noWrap w:val="0"/>
            <w:vAlign w:val="center"/>
          </w:tcPr>
          <w:p w14:paraId="6EF1A75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pacing w:val="20"/>
                <w:kern w:val="1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pacing w:val="20"/>
                <w:kern w:val="10"/>
                <w:sz w:val="21"/>
                <w:szCs w:val="21"/>
                <w:lang w:val="en-US" w:eastAsia="zh-CN"/>
              </w:rPr>
              <w:t>26</w:t>
            </w:r>
          </w:p>
        </w:tc>
        <w:tc>
          <w:tcPr>
            <w:tcW w:w="2139" w:type="dxa"/>
            <w:shd w:val="clear" w:color="auto" w:fill="auto"/>
            <w:noWrap w:val="0"/>
            <w:vAlign w:val="center"/>
          </w:tcPr>
          <w:p w14:paraId="343B1825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华文楷体" w:hAnsi="华文楷体" w:eastAsia="华文楷体" w:cs="华文楷体"/>
                <w:color w:val="auto"/>
                <w:spacing w:val="20"/>
                <w:kern w:val="1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华文楷体" w:hAnsi="华文楷体" w:eastAsia="华文楷体" w:cs="华文楷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150mL喇叭口玻璃三角烧瓶</w:t>
            </w:r>
          </w:p>
        </w:tc>
        <w:tc>
          <w:tcPr>
            <w:tcW w:w="2530" w:type="dxa"/>
            <w:shd w:val="clear" w:color="auto" w:fill="auto"/>
            <w:noWrap w:val="0"/>
            <w:vAlign w:val="center"/>
          </w:tcPr>
          <w:p w14:paraId="18CCE3A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pacing w:val="20"/>
                <w:kern w:val="1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pacing w:val="20"/>
                <w:kern w:val="10"/>
                <w:sz w:val="22"/>
                <w:szCs w:val="22"/>
                <w:lang w:val="en-US" w:eastAsia="zh-CN" w:bidi="ar-SA"/>
              </w:rPr>
              <w:t>带刻度，刻度准确，</w:t>
            </w:r>
          </w:p>
        </w:tc>
        <w:tc>
          <w:tcPr>
            <w:tcW w:w="858" w:type="dxa"/>
            <w:shd w:val="clear" w:color="auto" w:fill="auto"/>
            <w:noWrap w:val="0"/>
            <w:vAlign w:val="center"/>
          </w:tcPr>
          <w:p w14:paraId="6E03EC9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pacing w:val="20"/>
                <w:kern w:val="1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20"/>
                <w:kern w:val="10"/>
                <w:sz w:val="22"/>
                <w:szCs w:val="22"/>
                <w:lang w:val="en-US" w:eastAsia="zh-CN" w:bidi="ar-SA"/>
              </w:rPr>
              <w:t>个</w:t>
            </w:r>
          </w:p>
        </w:tc>
        <w:tc>
          <w:tcPr>
            <w:tcW w:w="819" w:type="dxa"/>
            <w:shd w:val="clear" w:color="auto" w:fill="auto"/>
            <w:noWrap w:val="0"/>
            <w:vAlign w:val="center"/>
          </w:tcPr>
          <w:p w14:paraId="6D63B31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pacing w:val="20"/>
                <w:kern w:val="1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20"/>
                <w:kern w:val="10"/>
                <w:sz w:val="22"/>
                <w:szCs w:val="22"/>
                <w:lang w:val="en-US" w:eastAsia="zh-CN" w:bidi="ar-SA"/>
              </w:rPr>
              <w:t>15</w:t>
            </w:r>
          </w:p>
        </w:tc>
        <w:tc>
          <w:tcPr>
            <w:tcW w:w="1225" w:type="dxa"/>
            <w:vMerge w:val="continue"/>
            <w:tcBorders/>
            <w:noWrap w:val="0"/>
            <w:vAlign w:val="center"/>
          </w:tcPr>
          <w:p w14:paraId="10ACAE8E">
            <w:pPr>
              <w:widowControl/>
              <w:jc w:val="center"/>
              <w:textAlignment w:val="top"/>
              <w:rPr>
                <w:rFonts w:hint="eastAsia" w:ascii="华文楷体" w:hAnsi="华文楷体" w:eastAsia="华文楷体" w:cs="华文楷体"/>
                <w:sz w:val="22"/>
              </w:rPr>
            </w:pPr>
          </w:p>
        </w:tc>
      </w:tr>
      <w:tr w14:paraId="71AE56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516" w:type="dxa"/>
            <w:shd w:val="clear"/>
            <w:noWrap w:val="0"/>
            <w:vAlign w:val="center"/>
          </w:tcPr>
          <w:p w14:paraId="7D98868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pacing w:val="20"/>
                <w:kern w:val="1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pacing w:val="20"/>
                <w:kern w:val="10"/>
                <w:sz w:val="21"/>
                <w:szCs w:val="21"/>
                <w:lang w:val="en-US" w:eastAsia="zh-CN"/>
              </w:rPr>
              <w:t>27</w:t>
            </w:r>
          </w:p>
        </w:tc>
        <w:tc>
          <w:tcPr>
            <w:tcW w:w="2139" w:type="dxa"/>
            <w:shd w:val="clear" w:color="auto" w:fill="auto"/>
            <w:noWrap w:val="0"/>
            <w:vAlign w:val="center"/>
          </w:tcPr>
          <w:p w14:paraId="238F08D1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华文楷体" w:hAnsi="华文楷体" w:eastAsia="华文楷体" w:cs="华文楷体"/>
                <w:color w:val="auto"/>
                <w:spacing w:val="20"/>
                <w:kern w:val="1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华文楷体" w:hAnsi="华文楷体" w:eastAsia="华文楷体" w:cs="华文楷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250mL喇叭口玻璃三角烧瓶</w:t>
            </w:r>
          </w:p>
        </w:tc>
        <w:tc>
          <w:tcPr>
            <w:tcW w:w="2530" w:type="dxa"/>
            <w:shd w:val="clear" w:color="auto" w:fill="auto"/>
            <w:noWrap w:val="0"/>
            <w:vAlign w:val="center"/>
          </w:tcPr>
          <w:p w14:paraId="1686F18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pacing w:val="20"/>
                <w:kern w:val="1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pacing w:val="20"/>
                <w:kern w:val="10"/>
                <w:sz w:val="22"/>
                <w:szCs w:val="22"/>
                <w:lang w:val="en-US" w:eastAsia="zh-CN" w:bidi="ar-SA"/>
              </w:rPr>
              <w:t>带刻度，刻度准确，</w:t>
            </w:r>
          </w:p>
        </w:tc>
        <w:tc>
          <w:tcPr>
            <w:tcW w:w="858" w:type="dxa"/>
            <w:shd w:val="clear" w:color="auto" w:fill="auto"/>
            <w:noWrap w:val="0"/>
            <w:vAlign w:val="center"/>
          </w:tcPr>
          <w:p w14:paraId="3EE490A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pacing w:val="20"/>
                <w:kern w:val="1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20"/>
                <w:kern w:val="10"/>
                <w:sz w:val="22"/>
                <w:szCs w:val="22"/>
                <w:lang w:val="en-US" w:eastAsia="zh-CN" w:bidi="ar-SA"/>
              </w:rPr>
              <w:t>个</w:t>
            </w:r>
          </w:p>
        </w:tc>
        <w:tc>
          <w:tcPr>
            <w:tcW w:w="819" w:type="dxa"/>
            <w:shd w:val="clear" w:color="auto" w:fill="auto"/>
            <w:noWrap w:val="0"/>
            <w:vAlign w:val="center"/>
          </w:tcPr>
          <w:p w14:paraId="6ADE43D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pacing w:val="20"/>
                <w:kern w:val="1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20"/>
                <w:kern w:val="10"/>
                <w:sz w:val="22"/>
                <w:szCs w:val="22"/>
                <w:lang w:val="en-US" w:eastAsia="zh-CN" w:bidi="ar-SA"/>
              </w:rPr>
              <w:t>15</w:t>
            </w:r>
          </w:p>
        </w:tc>
        <w:tc>
          <w:tcPr>
            <w:tcW w:w="1225" w:type="dxa"/>
            <w:vMerge w:val="continue"/>
            <w:tcBorders/>
            <w:noWrap w:val="0"/>
            <w:vAlign w:val="center"/>
          </w:tcPr>
          <w:p w14:paraId="2C0D08FD">
            <w:pPr>
              <w:widowControl/>
              <w:jc w:val="center"/>
              <w:textAlignment w:val="top"/>
              <w:rPr>
                <w:rFonts w:hint="eastAsia" w:ascii="华文楷体" w:hAnsi="华文楷体" w:eastAsia="华文楷体" w:cs="华文楷体"/>
                <w:sz w:val="22"/>
              </w:rPr>
            </w:pPr>
          </w:p>
        </w:tc>
      </w:tr>
      <w:tr w14:paraId="643B38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516" w:type="dxa"/>
            <w:shd w:val="clear"/>
            <w:noWrap w:val="0"/>
            <w:vAlign w:val="center"/>
          </w:tcPr>
          <w:p w14:paraId="7D96A75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pacing w:val="20"/>
                <w:kern w:val="1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pacing w:val="20"/>
                <w:kern w:val="10"/>
                <w:sz w:val="21"/>
                <w:szCs w:val="21"/>
                <w:lang w:val="en-US" w:eastAsia="zh-CN"/>
              </w:rPr>
              <w:t>28</w:t>
            </w:r>
          </w:p>
        </w:tc>
        <w:tc>
          <w:tcPr>
            <w:tcW w:w="2139" w:type="dxa"/>
            <w:shd w:val="clear" w:color="auto" w:fill="auto"/>
            <w:noWrap w:val="0"/>
            <w:vAlign w:val="center"/>
          </w:tcPr>
          <w:p w14:paraId="662883D8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华文楷体" w:hAnsi="华文楷体" w:eastAsia="华文楷体" w:cs="华文楷体"/>
                <w:color w:val="auto"/>
                <w:spacing w:val="20"/>
                <w:kern w:val="1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华文楷体" w:hAnsi="华文楷体" w:eastAsia="华文楷体" w:cs="华文楷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500mL喇叭口玻璃三角烧瓶</w:t>
            </w:r>
          </w:p>
        </w:tc>
        <w:tc>
          <w:tcPr>
            <w:tcW w:w="2530" w:type="dxa"/>
            <w:shd w:val="clear" w:color="auto" w:fill="auto"/>
            <w:noWrap w:val="0"/>
            <w:vAlign w:val="center"/>
          </w:tcPr>
          <w:p w14:paraId="6FC8799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pacing w:val="20"/>
                <w:kern w:val="1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pacing w:val="20"/>
                <w:kern w:val="10"/>
                <w:sz w:val="22"/>
                <w:szCs w:val="22"/>
                <w:lang w:val="en-US" w:eastAsia="zh-CN" w:bidi="ar-SA"/>
              </w:rPr>
              <w:t>带刻度，刻度准确，</w:t>
            </w:r>
          </w:p>
        </w:tc>
        <w:tc>
          <w:tcPr>
            <w:tcW w:w="858" w:type="dxa"/>
            <w:shd w:val="clear" w:color="auto" w:fill="auto"/>
            <w:noWrap w:val="0"/>
            <w:vAlign w:val="center"/>
          </w:tcPr>
          <w:p w14:paraId="587CE24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pacing w:val="20"/>
                <w:kern w:val="1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20"/>
                <w:kern w:val="10"/>
                <w:sz w:val="22"/>
                <w:szCs w:val="22"/>
                <w:lang w:val="en-US" w:eastAsia="zh-CN" w:bidi="ar-SA"/>
              </w:rPr>
              <w:t>个</w:t>
            </w:r>
          </w:p>
        </w:tc>
        <w:tc>
          <w:tcPr>
            <w:tcW w:w="819" w:type="dxa"/>
            <w:shd w:val="clear" w:color="auto" w:fill="auto"/>
            <w:noWrap w:val="0"/>
            <w:vAlign w:val="center"/>
          </w:tcPr>
          <w:p w14:paraId="23EBDEB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pacing w:val="20"/>
                <w:kern w:val="1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20"/>
                <w:kern w:val="10"/>
                <w:sz w:val="22"/>
                <w:szCs w:val="22"/>
                <w:lang w:val="en-US" w:eastAsia="zh-CN" w:bidi="ar-SA"/>
              </w:rPr>
              <w:t>15</w:t>
            </w:r>
          </w:p>
        </w:tc>
        <w:tc>
          <w:tcPr>
            <w:tcW w:w="1225" w:type="dxa"/>
            <w:vMerge w:val="continue"/>
            <w:tcBorders/>
            <w:noWrap w:val="0"/>
            <w:vAlign w:val="center"/>
          </w:tcPr>
          <w:p w14:paraId="75F4C1B3">
            <w:pPr>
              <w:widowControl/>
              <w:jc w:val="center"/>
              <w:textAlignment w:val="top"/>
              <w:rPr>
                <w:rFonts w:hint="eastAsia" w:ascii="华文楷体" w:hAnsi="华文楷体" w:eastAsia="华文楷体" w:cs="华文楷体"/>
                <w:sz w:val="22"/>
              </w:rPr>
            </w:pPr>
          </w:p>
        </w:tc>
      </w:tr>
      <w:tr w14:paraId="28F6DA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516" w:type="dxa"/>
            <w:shd w:val="clear"/>
            <w:noWrap w:val="0"/>
            <w:vAlign w:val="center"/>
          </w:tcPr>
          <w:p w14:paraId="6DF93EB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pacing w:val="20"/>
                <w:kern w:val="1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pacing w:val="20"/>
                <w:kern w:val="10"/>
                <w:sz w:val="21"/>
                <w:szCs w:val="21"/>
                <w:lang w:val="en-US" w:eastAsia="zh-CN"/>
              </w:rPr>
              <w:t>29</w:t>
            </w:r>
          </w:p>
        </w:tc>
        <w:tc>
          <w:tcPr>
            <w:tcW w:w="2139" w:type="dxa"/>
            <w:shd w:val="clear" w:color="auto" w:fill="auto"/>
            <w:noWrap w:val="0"/>
            <w:vAlign w:val="center"/>
          </w:tcPr>
          <w:p w14:paraId="32B141D3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华文楷体" w:hAnsi="华文楷体" w:eastAsia="华文楷体" w:cs="华文楷体"/>
                <w:color w:val="auto"/>
                <w:spacing w:val="20"/>
                <w:kern w:val="1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华文楷体" w:hAnsi="华文楷体" w:eastAsia="华文楷体" w:cs="华文楷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1000mL喇叭口玻璃三角烧瓶</w:t>
            </w:r>
          </w:p>
        </w:tc>
        <w:tc>
          <w:tcPr>
            <w:tcW w:w="2530" w:type="dxa"/>
            <w:shd w:val="clear" w:color="auto" w:fill="auto"/>
            <w:noWrap w:val="0"/>
            <w:vAlign w:val="center"/>
          </w:tcPr>
          <w:p w14:paraId="205E3F5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pacing w:val="20"/>
                <w:kern w:val="1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pacing w:val="20"/>
                <w:kern w:val="10"/>
                <w:sz w:val="22"/>
                <w:szCs w:val="22"/>
                <w:lang w:val="en-US" w:eastAsia="zh-CN"/>
              </w:rPr>
              <w:t>带刻度，刻度准确，</w:t>
            </w:r>
          </w:p>
        </w:tc>
        <w:tc>
          <w:tcPr>
            <w:tcW w:w="858" w:type="dxa"/>
            <w:shd w:val="clear" w:color="auto" w:fill="auto"/>
            <w:noWrap w:val="0"/>
            <w:vAlign w:val="center"/>
          </w:tcPr>
          <w:p w14:paraId="5CFBB5C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pacing w:val="20"/>
                <w:kern w:val="1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20"/>
                <w:kern w:val="10"/>
                <w:sz w:val="22"/>
                <w:szCs w:val="22"/>
                <w:lang w:val="en-US" w:eastAsia="zh-CN"/>
              </w:rPr>
              <w:t>个</w:t>
            </w:r>
          </w:p>
        </w:tc>
        <w:tc>
          <w:tcPr>
            <w:tcW w:w="819" w:type="dxa"/>
            <w:shd w:val="clear" w:color="auto" w:fill="auto"/>
            <w:noWrap w:val="0"/>
            <w:vAlign w:val="center"/>
          </w:tcPr>
          <w:p w14:paraId="05C9E3A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pacing w:val="20"/>
                <w:kern w:val="1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20"/>
                <w:kern w:val="10"/>
                <w:sz w:val="22"/>
                <w:szCs w:val="22"/>
                <w:lang w:val="en-US" w:eastAsia="zh-CN"/>
              </w:rPr>
              <w:t>15</w:t>
            </w:r>
          </w:p>
        </w:tc>
        <w:tc>
          <w:tcPr>
            <w:tcW w:w="1225" w:type="dxa"/>
            <w:vMerge w:val="continue"/>
            <w:tcBorders/>
            <w:noWrap w:val="0"/>
            <w:vAlign w:val="center"/>
          </w:tcPr>
          <w:p w14:paraId="51157024">
            <w:pPr>
              <w:widowControl/>
              <w:jc w:val="center"/>
              <w:textAlignment w:val="top"/>
              <w:rPr>
                <w:rFonts w:hint="eastAsia" w:ascii="华文楷体" w:hAnsi="华文楷体" w:eastAsia="华文楷体" w:cs="华文楷体"/>
                <w:sz w:val="22"/>
              </w:rPr>
            </w:pPr>
          </w:p>
        </w:tc>
      </w:tr>
      <w:tr w14:paraId="1272E0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516" w:type="dxa"/>
            <w:shd w:val="clear"/>
            <w:noWrap w:val="0"/>
            <w:vAlign w:val="center"/>
          </w:tcPr>
          <w:p w14:paraId="7EF5404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pacing w:val="20"/>
                <w:kern w:val="1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pacing w:val="20"/>
                <w:kern w:val="10"/>
                <w:sz w:val="21"/>
                <w:szCs w:val="21"/>
                <w:lang w:val="en-US" w:eastAsia="zh-CN"/>
              </w:rPr>
              <w:t>30</w:t>
            </w:r>
          </w:p>
        </w:tc>
        <w:tc>
          <w:tcPr>
            <w:tcW w:w="2139" w:type="dxa"/>
            <w:shd w:val="clear" w:color="auto" w:fill="auto"/>
            <w:noWrap w:val="0"/>
            <w:vAlign w:val="center"/>
          </w:tcPr>
          <w:p w14:paraId="7733D2D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华文楷体" w:hAnsi="华文楷体" w:eastAsia="华文楷体" w:cs="华文楷体"/>
                <w:color w:val="auto"/>
                <w:spacing w:val="20"/>
                <w:kern w:val="1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华文楷体" w:hAnsi="华文楷体" w:eastAsia="华文楷体" w:cs="华文楷体"/>
                <w:color w:val="auto"/>
                <w:spacing w:val="20"/>
                <w:kern w:val="10"/>
                <w:sz w:val="22"/>
                <w:szCs w:val="22"/>
                <w:lang w:val="en-US" w:eastAsia="zh-CN"/>
              </w:rPr>
              <w:t>玻璃烧杯</w:t>
            </w:r>
          </w:p>
        </w:tc>
        <w:tc>
          <w:tcPr>
            <w:tcW w:w="2530" w:type="dxa"/>
            <w:shd w:val="clear" w:color="auto" w:fill="auto"/>
            <w:noWrap w:val="0"/>
            <w:vAlign w:val="center"/>
          </w:tcPr>
          <w:p w14:paraId="3BAB04C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pacing w:val="20"/>
                <w:kern w:val="1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pacing w:val="20"/>
                <w:kern w:val="10"/>
                <w:sz w:val="22"/>
                <w:szCs w:val="22"/>
                <w:lang w:val="en-US" w:eastAsia="zh-CN"/>
              </w:rPr>
              <w:t>1000mL，带刻度，刻度准确。</w:t>
            </w:r>
          </w:p>
        </w:tc>
        <w:tc>
          <w:tcPr>
            <w:tcW w:w="858" w:type="dxa"/>
            <w:shd w:val="clear" w:color="auto" w:fill="auto"/>
            <w:noWrap w:val="0"/>
            <w:vAlign w:val="center"/>
          </w:tcPr>
          <w:p w14:paraId="0805CF1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pacing w:val="20"/>
                <w:kern w:val="1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20"/>
                <w:kern w:val="10"/>
                <w:sz w:val="22"/>
                <w:szCs w:val="22"/>
                <w:lang w:val="en-US" w:eastAsia="zh-CN"/>
              </w:rPr>
              <w:t>只</w:t>
            </w:r>
          </w:p>
        </w:tc>
        <w:tc>
          <w:tcPr>
            <w:tcW w:w="819" w:type="dxa"/>
            <w:shd w:val="clear" w:color="auto" w:fill="auto"/>
            <w:noWrap w:val="0"/>
            <w:vAlign w:val="center"/>
          </w:tcPr>
          <w:p w14:paraId="668A2B6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pacing w:val="20"/>
                <w:kern w:val="1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20"/>
                <w:kern w:val="10"/>
                <w:sz w:val="22"/>
                <w:szCs w:val="22"/>
                <w:lang w:val="en-US" w:eastAsia="zh-CN"/>
              </w:rPr>
              <w:t>20</w:t>
            </w:r>
          </w:p>
        </w:tc>
        <w:tc>
          <w:tcPr>
            <w:tcW w:w="1225" w:type="dxa"/>
            <w:vMerge w:val="continue"/>
            <w:tcBorders/>
            <w:noWrap w:val="0"/>
            <w:vAlign w:val="center"/>
          </w:tcPr>
          <w:p w14:paraId="499C1D90">
            <w:pPr>
              <w:widowControl/>
              <w:jc w:val="center"/>
              <w:textAlignment w:val="top"/>
              <w:rPr>
                <w:rFonts w:hint="eastAsia" w:ascii="华文楷体" w:hAnsi="华文楷体" w:eastAsia="华文楷体" w:cs="华文楷体"/>
                <w:sz w:val="22"/>
              </w:rPr>
            </w:pPr>
          </w:p>
        </w:tc>
      </w:tr>
      <w:tr w14:paraId="125D86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516" w:type="dxa"/>
            <w:shd w:val="clear"/>
            <w:noWrap w:val="0"/>
            <w:vAlign w:val="center"/>
          </w:tcPr>
          <w:p w14:paraId="67FDA12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pacing w:val="20"/>
                <w:kern w:val="1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pacing w:val="20"/>
                <w:kern w:val="10"/>
                <w:sz w:val="21"/>
                <w:szCs w:val="21"/>
                <w:lang w:val="en-US" w:eastAsia="zh-CN"/>
              </w:rPr>
              <w:t>31</w:t>
            </w:r>
          </w:p>
        </w:tc>
        <w:tc>
          <w:tcPr>
            <w:tcW w:w="2139" w:type="dxa"/>
            <w:shd w:val="clear" w:color="auto" w:fill="auto"/>
            <w:noWrap w:val="0"/>
            <w:vAlign w:val="center"/>
          </w:tcPr>
          <w:p w14:paraId="24C4DFB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华文楷体" w:hAnsi="华文楷体" w:eastAsia="华文楷体" w:cs="华文楷体"/>
                <w:color w:val="auto"/>
                <w:spacing w:val="20"/>
                <w:kern w:val="10"/>
                <w:sz w:val="22"/>
                <w:szCs w:val="22"/>
                <w:highlight w:val="yellow"/>
                <w:lang w:val="en-US" w:eastAsia="zh-CN" w:bidi="ar-SA"/>
              </w:rPr>
            </w:pPr>
            <w:r>
              <w:rPr>
                <w:rFonts w:hint="eastAsia" w:ascii="华文楷体" w:hAnsi="华文楷体" w:eastAsia="华文楷体" w:cs="华文楷体"/>
                <w:color w:val="auto"/>
                <w:spacing w:val="20"/>
                <w:kern w:val="10"/>
                <w:sz w:val="22"/>
                <w:szCs w:val="22"/>
                <w:lang w:val="en-US" w:eastAsia="zh-CN"/>
              </w:rPr>
              <w:t>玻璃烧杯</w:t>
            </w:r>
          </w:p>
        </w:tc>
        <w:tc>
          <w:tcPr>
            <w:tcW w:w="2530" w:type="dxa"/>
            <w:shd w:val="clear" w:color="auto" w:fill="auto"/>
            <w:noWrap w:val="0"/>
            <w:vAlign w:val="center"/>
          </w:tcPr>
          <w:p w14:paraId="41401AE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pacing w:val="20"/>
                <w:kern w:val="1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pacing w:val="20"/>
                <w:kern w:val="10"/>
                <w:sz w:val="22"/>
                <w:szCs w:val="22"/>
                <w:lang w:val="en-US" w:eastAsia="zh-CN"/>
              </w:rPr>
              <w:t>500mL，带刻度，刻度准确。</w:t>
            </w:r>
          </w:p>
        </w:tc>
        <w:tc>
          <w:tcPr>
            <w:tcW w:w="858" w:type="dxa"/>
            <w:shd w:val="clear" w:color="auto" w:fill="auto"/>
            <w:noWrap w:val="0"/>
            <w:vAlign w:val="center"/>
          </w:tcPr>
          <w:p w14:paraId="70E45BA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pacing w:val="20"/>
                <w:kern w:val="1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20"/>
                <w:kern w:val="10"/>
                <w:sz w:val="22"/>
                <w:szCs w:val="22"/>
                <w:lang w:val="en-US" w:eastAsia="zh-CN"/>
              </w:rPr>
              <w:t>只</w:t>
            </w:r>
          </w:p>
        </w:tc>
        <w:tc>
          <w:tcPr>
            <w:tcW w:w="819" w:type="dxa"/>
            <w:shd w:val="clear" w:color="auto" w:fill="auto"/>
            <w:noWrap w:val="0"/>
            <w:vAlign w:val="center"/>
          </w:tcPr>
          <w:p w14:paraId="6C11650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pacing w:val="20"/>
                <w:kern w:val="1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20"/>
                <w:kern w:val="10"/>
                <w:sz w:val="22"/>
                <w:szCs w:val="22"/>
                <w:lang w:val="en-US" w:eastAsia="zh-CN" w:bidi="ar-SA"/>
              </w:rPr>
              <w:t>20</w:t>
            </w:r>
          </w:p>
        </w:tc>
        <w:tc>
          <w:tcPr>
            <w:tcW w:w="1225" w:type="dxa"/>
            <w:vMerge w:val="continue"/>
            <w:tcBorders/>
            <w:noWrap w:val="0"/>
            <w:vAlign w:val="center"/>
          </w:tcPr>
          <w:p w14:paraId="3F1489F6">
            <w:pPr>
              <w:widowControl/>
              <w:jc w:val="center"/>
              <w:textAlignment w:val="top"/>
              <w:rPr>
                <w:rFonts w:hint="eastAsia" w:ascii="华文楷体" w:hAnsi="华文楷体" w:eastAsia="华文楷体" w:cs="华文楷体"/>
                <w:sz w:val="22"/>
              </w:rPr>
            </w:pPr>
          </w:p>
        </w:tc>
      </w:tr>
      <w:tr w14:paraId="7B6E8B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516" w:type="dxa"/>
            <w:shd w:val="clear"/>
            <w:noWrap w:val="0"/>
            <w:vAlign w:val="center"/>
          </w:tcPr>
          <w:p w14:paraId="23AD858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pacing w:val="20"/>
                <w:kern w:val="1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pacing w:val="20"/>
                <w:kern w:val="10"/>
                <w:sz w:val="21"/>
                <w:szCs w:val="21"/>
                <w:lang w:val="en-US" w:eastAsia="zh-CN"/>
              </w:rPr>
              <w:t>32</w:t>
            </w:r>
          </w:p>
        </w:tc>
        <w:tc>
          <w:tcPr>
            <w:tcW w:w="2139" w:type="dxa"/>
            <w:shd w:val="clear" w:color="auto" w:fill="auto"/>
            <w:noWrap w:val="0"/>
            <w:vAlign w:val="center"/>
          </w:tcPr>
          <w:p w14:paraId="0093F53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华文楷体" w:hAnsi="华文楷体" w:eastAsia="华文楷体" w:cs="华文楷体"/>
                <w:color w:val="auto"/>
                <w:kern w:val="2"/>
                <w:sz w:val="22"/>
                <w:szCs w:val="22"/>
                <w:highlight w:val="yellow"/>
                <w:lang w:val="en-US" w:eastAsia="zh-CN" w:bidi="ar-SA"/>
              </w:rPr>
            </w:pPr>
            <w:r>
              <w:rPr>
                <w:rFonts w:hint="eastAsia" w:ascii="华文楷体" w:hAnsi="华文楷体" w:eastAsia="华文楷体" w:cs="华文楷体"/>
                <w:color w:val="auto"/>
                <w:spacing w:val="20"/>
                <w:kern w:val="10"/>
                <w:sz w:val="22"/>
                <w:szCs w:val="22"/>
                <w:lang w:val="en-US" w:eastAsia="zh-CN"/>
              </w:rPr>
              <w:t>玻璃烧杯</w:t>
            </w:r>
          </w:p>
        </w:tc>
        <w:tc>
          <w:tcPr>
            <w:tcW w:w="2530" w:type="dxa"/>
            <w:shd w:val="clear" w:color="auto" w:fill="auto"/>
            <w:noWrap w:val="0"/>
            <w:vAlign w:val="center"/>
          </w:tcPr>
          <w:p w14:paraId="78C7879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2"/>
                <w:szCs w:val="22"/>
                <w:lang w:val="en-US" w:eastAsia="zh-CN" w:bidi="ar-SA"/>
              </w:rPr>
              <w:t>250</w:t>
            </w:r>
            <w:r>
              <w:rPr>
                <w:rFonts w:hint="eastAsia" w:ascii="仿宋" w:hAnsi="仿宋" w:eastAsia="仿宋" w:cs="仿宋"/>
                <w:color w:val="auto"/>
                <w:spacing w:val="20"/>
                <w:kern w:val="10"/>
                <w:sz w:val="22"/>
                <w:szCs w:val="22"/>
                <w:lang w:val="en-US" w:eastAsia="zh-CN"/>
              </w:rPr>
              <w:t>mL，带刻度，刻度准确。</w:t>
            </w:r>
          </w:p>
        </w:tc>
        <w:tc>
          <w:tcPr>
            <w:tcW w:w="858" w:type="dxa"/>
            <w:shd w:val="clear" w:color="auto" w:fill="auto"/>
            <w:noWrap w:val="0"/>
            <w:vAlign w:val="center"/>
          </w:tcPr>
          <w:p w14:paraId="77E798D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20"/>
                <w:kern w:val="10"/>
                <w:sz w:val="22"/>
                <w:szCs w:val="22"/>
                <w:lang w:val="en-US" w:eastAsia="zh-CN"/>
              </w:rPr>
              <w:t>只</w:t>
            </w:r>
          </w:p>
        </w:tc>
        <w:tc>
          <w:tcPr>
            <w:tcW w:w="819" w:type="dxa"/>
            <w:shd w:val="clear" w:color="auto" w:fill="auto"/>
            <w:noWrap w:val="0"/>
            <w:vAlign w:val="center"/>
          </w:tcPr>
          <w:p w14:paraId="05AF422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2"/>
                <w:szCs w:val="22"/>
                <w:lang w:val="en-US" w:eastAsia="zh-CN" w:bidi="ar-SA"/>
              </w:rPr>
              <w:t>30</w:t>
            </w:r>
          </w:p>
        </w:tc>
        <w:tc>
          <w:tcPr>
            <w:tcW w:w="1225" w:type="dxa"/>
            <w:vMerge w:val="continue"/>
            <w:tcBorders/>
            <w:noWrap w:val="0"/>
            <w:vAlign w:val="center"/>
          </w:tcPr>
          <w:p w14:paraId="40423BF8">
            <w:pPr>
              <w:widowControl/>
              <w:jc w:val="center"/>
              <w:textAlignment w:val="top"/>
              <w:rPr>
                <w:rFonts w:hint="eastAsia" w:ascii="华文楷体" w:hAnsi="华文楷体" w:eastAsia="华文楷体" w:cs="华文楷体"/>
                <w:sz w:val="22"/>
              </w:rPr>
            </w:pPr>
          </w:p>
        </w:tc>
      </w:tr>
      <w:tr w14:paraId="7C5D33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516" w:type="dxa"/>
            <w:shd w:val="clear"/>
            <w:noWrap w:val="0"/>
            <w:vAlign w:val="center"/>
          </w:tcPr>
          <w:p w14:paraId="394BD0B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pacing w:val="20"/>
                <w:kern w:val="1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pacing w:val="20"/>
                <w:kern w:val="10"/>
                <w:sz w:val="21"/>
                <w:szCs w:val="21"/>
                <w:lang w:val="en-US" w:eastAsia="zh-CN"/>
              </w:rPr>
              <w:t>33</w:t>
            </w:r>
          </w:p>
        </w:tc>
        <w:tc>
          <w:tcPr>
            <w:tcW w:w="2139" w:type="dxa"/>
            <w:shd w:val="clear" w:color="auto" w:fill="auto"/>
            <w:noWrap w:val="0"/>
            <w:vAlign w:val="center"/>
          </w:tcPr>
          <w:p w14:paraId="6A5173B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华文楷体" w:hAnsi="华文楷体" w:eastAsia="华文楷体" w:cs="华文楷体"/>
                <w:color w:val="auto"/>
                <w:kern w:val="2"/>
                <w:sz w:val="22"/>
                <w:szCs w:val="22"/>
                <w:highlight w:val="yellow"/>
                <w:lang w:val="en-US" w:eastAsia="zh-CN" w:bidi="ar-SA"/>
              </w:rPr>
            </w:pPr>
            <w:r>
              <w:rPr>
                <w:rFonts w:hint="eastAsia" w:ascii="华文楷体" w:hAnsi="华文楷体" w:eastAsia="华文楷体" w:cs="华文楷体"/>
                <w:color w:val="auto"/>
                <w:spacing w:val="20"/>
                <w:kern w:val="10"/>
                <w:sz w:val="22"/>
                <w:szCs w:val="22"/>
                <w:lang w:val="en-US" w:eastAsia="zh-CN"/>
              </w:rPr>
              <w:t>玻璃烧杯</w:t>
            </w:r>
          </w:p>
        </w:tc>
        <w:tc>
          <w:tcPr>
            <w:tcW w:w="2530" w:type="dxa"/>
            <w:shd w:val="clear" w:color="auto" w:fill="auto"/>
            <w:noWrap w:val="0"/>
            <w:vAlign w:val="center"/>
          </w:tcPr>
          <w:p w14:paraId="7B4F2AB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pacing w:val="20"/>
                <w:kern w:val="10"/>
                <w:sz w:val="22"/>
                <w:szCs w:val="22"/>
                <w:lang w:val="en-US" w:eastAsia="zh-CN"/>
              </w:rPr>
              <w:t>100mL，带刻度，刻度准确。</w:t>
            </w:r>
          </w:p>
        </w:tc>
        <w:tc>
          <w:tcPr>
            <w:tcW w:w="858" w:type="dxa"/>
            <w:shd w:val="clear" w:color="auto" w:fill="auto"/>
            <w:noWrap w:val="0"/>
            <w:vAlign w:val="center"/>
          </w:tcPr>
          <w:p w14:paraId="6C2EB4F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20"/>
                <w:kern w:val="10"/>
                <w:sz w:val="22"/>
                <w:szCs w:val="22"/>
                <w:lang w:val="en-US" w:eastAsia="zh-CN"/>
              </w:rPr>
              <w:t>只</w:t>
            </w:r>
          </w:p>
        </w:tc>
        <w:tc>
          <w:tcPr>
            <w:tcW w:w="819" w:type="dxa"/>
            <w:shd w:val="clear" w:color="auto" w:fill="auto"/>
            <w:noWrap w:val="0"/>
            <w:vAlign w:val="center"/>
          </w:tcPr>
          <w:p w14:paraId="1F0F4B1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2"/>
                <w:szCs w:val="22"/>
                <w:lang w:val="en-US" w:eastAsia="zh-CN" w:bidi="ar-SA"/>
              </w:rPr>
              <w:t>20</w:t>
            </w:r>
          </w:p>
        </w:tc>
        <w:tc>
          <w:tcPr>
            <w:tcW w:w="1225" w:type="dxa"/>
            <w:vMerge w:val="continue"/>
            <w:tcBorders/>
            <w:noWrap w:val="0"/>
            <w:vAlign w:val="center"/>
          </w:tcPr>
          <w:p w14:paraId="45EA8F7D">
            <w:pPr>
              <w:widowControl/>
              <w:jc w:val="center"/>
              <w:textAlignment w:val="top"/>
              <w:rPr>
                <w:rFonts w:hint="eastAsia" w:ascii="华文楷体" w:hAnsi="华文楷体" w:eastAsia="华文楷体" w:cs="华文楷体"/>
                <w:sz w:val="22"/>
              </w:rPr>
            </w:pPr>
          </w:p>
        </w:tc>
      </w:tr>
      <w:tr w14:paraId="57570D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516" w:type="dxa"/>
            <w:shd w:val="clear"/>
            <w:noWrap w:val="0"/>
            <w:vAlign w:val="center"/>
          </w:tcPr>
          <w:p w14:paraId="102C093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pacing w:val="20"/>
                <w:kern w:val="1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pacing w:val="20"/>
                <w:kern w:val="10"/>
                <w:sz w:val="21"/>
                <w:szCs w:val="21"/>
                <w:lang w:val="en-US" w:eastAsia="zh-CN"/>
              </w:rPr>
              <w:t>34</w:t>
            </w:r>
          </w:p>
        </w:tc>
        <w:tc>
          <w:tcPr>
            <w:tcW w:w="2139" w:type="dxa"/>
            <w:shd w:val="clear" w:color="auto" w:fill="auto"/>
            <w:noWrap w:val="0"/>
            <w:vAlign w:val="center"/>
          </w:tcPr>
          <w:p w14:paraId="34FA701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华文楷体" w:hAnsi="华文楷体" w:eastAsia="华文楷体" w:cs="华文楷体"/>
                <w:color w:val="auto"/>
                <w:spacing w:val="20"/>
                <w:kern w:val="1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华文楷体" w:hAnsi="华文楷体" w:eastAsia="华文楷体" w:cs="华文楷体"/>
                <w:color w:val="auto"/>
                <w:spacing w:val="20"/>
                <w:kern w:val="10"/>
                <w:sz w:val="22"/>
                <w:szCs w:val="22"/>
                <w:lang w:val="en-US" w:eastAsia="zh-CN"/>
              </w:rPr>
              <w:t>10mL玻璃离心管</w:t>
            </w:r>
          </w:p>
        </w:tc>
        <w:tc>
          <w:tcPr>
            <w:tcW w:w="2530" w:type="dxa"/>
            <w:shd w:val="clear" w:color="auto" w:fill="auto"/>
            <w:noWrap w:val="0"/>
            <w:vAlign w:val="center"/>
          </w:tcPr>
          <w:p w14:paraId="2B360A0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pacing w:val="20"/>
                <w:kern w:val="1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pacing w:val="20"/>
                <w:kern w:val="10"/>
                <w:sz w:val="22"/>
                <w:szCs w:val="22"/>
                <w:lang w:val="en-US" w:eastAsia="zh-CN"/>
              </w:rPr>
              <w:t>圆底，带刻度，带盖，螺口，外经16mm，内径8.94mm，带盖长度105mm，整体可高温高压灭菌。</w:t>
            </w:r>
          </w:p>
        </w:tc>
        <w:tc>
          <w:tcPr>
            <w:tcW w:w="858" w:type="dxa"/>
            <w:shd w:val="clear" w:color="auto" w:fill="auto"/>
            <w:noWrap w:val="0"/>
            <w:vAlign w:val="center"/>
          </w:tcPr>
          <w:p w14:paraId="600FB72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pacing w:val="20"/>
                <w:kern w:val="1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20"/>
                <w:kern w:val="10"/>
                <w:sz w:val="22"/>
                <w:szCs w:val="22"/>
                <w:lang w:val="en-US" w:eastAsia="zh-CN"/>
              </w:rPr>
              <w:t>个</w:t>
            </w:r>
          </w:p>
        </w:tc>
        <w:tc>
          <w:tcPr>
            <w:tcW w:w="819" w:type="dxa"/>
            <w:shd w:val="clear" w:color="auto" w:fill="auto"/>
            <w:noWrap w:val="0"/>
            <w:vAlign w:val="center"/>
          </w:tcPr>
          <w:p w14:paraId="7E058C3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pacing w:val="20"/>
                <w:kern w:val="1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20"/>
                <w:kern w:val="10"/>
                <w:sz w:val="22"/>
                <w:szCs w:val="22"/>
                <w:lang w:val="en-US" w:eastAsia="zh-CN"/>
              </w:rPr>
              <w:t>200</w:t>
            </w:r>
          </w:p>
        </w:tc>
        <w:tc>
          <w:tcPr>
            <w:tcW w:w="1225" w:type="dxa"/>
            <w:vMerge w:val="continue"/>
            <w:tcBorders/>
            <w:noWrap w:val="0"/>
            <w:vAlign w:val="center"/>
          </w:tcPr>
          <w:p w14:paraId="726D849F">
            <w:pPr>
              <w:widowControl/>
              <w:jc w:val="center"/>
              <w:textAlignment w:val="top"/>
              <w:rPr>
                <w:rFonts w:hint="eastAsia" w:ascii="华文楷体" w:hAnsi="华文楷体" w:eastAsia="华文楷体" w:cs="华文楷体"/>
                <w:sz w:val="22"/>
              </w:rPr>
            </w:pPr>
          </w:p>
        </w:tc>
      </w:tr>
      <w:tr w14:paraId="10779D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516" w:type="dxa"/>
            <w:shd w:val="clear"/>
            <w:noWrap w:val="0"/>
            <w:vAlign w:val="center"/>
          </w:tcPr>
          <w:p w14:paraId="2E37BD6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pacing w:val="20"/>
                <w:kern w:val="1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pacing w:val="20"/>
                <w:kern w:val="10"/>
                <w:sz w:val="21"/>
                <w:szCs w:val="21"/>
                <w:lang w:val="en-US" w:eastAsia="zh-CN"/>
              </w:rPr>
              <w:t>35</w:t>
            </w:r>
          </w:p>
        </w:tc>
        <w:tc>
          <w:tcPr>
            <w:tcW w:w="2139" w:type="dxa"/>
            <w:shd w:val="clear" w:color="auto" w:fill="auto"/>
            <w:noWrap w:val="0"/>
            <w:vAlign w:val="center"/>
          </w:tcPr>
          <w:p w14:paraId="6E9FE3B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华文楷体" w:hAnsi="华文楷体" w:eastAsia="华文楷体" w:cs="华文楷体"/>
                <w:color w:val="auto"/>
                <w:spacing w:val="20"/>
                <w:kern w:val="1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华文楷体" w:hAnsi="华文楷体" w:eastAsia="华文楷体" w:cs="华文楷体"/>
                <w:color w:val="auto"/>
                <w:spacing w:val="20"/>
                <w:kern w:val="10"/>
                <w:sz w:val="22"/>
                <w:szCs w:val="22"/>
                <w:lang w:val="en-US" w:eastAsia="zh-CN"/>
              </w:rPr>
              <w:t>10mL玻璃离心管</w:t>
            </w:r>
          </w:p>
        </w:tc>
        <w:tc>
          <w:tcPr>
            <w:tcW w:w="2530" w:type="dxa"/>
            <w:shd w:val="clear" w:color="auto" w:fill="auto"/>
            <w:noWrap w:val="0"/>
            <w:vAlign w:val="center"/>
          </w:tcPr>
          <w:p w14:paraId="58A7CB6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pacing w:val="20"/>
                <w:kern w:val="1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pacing w:val="20"/>
                <w:kern w:val="10"/>
                <w:sz w:val="22"/>
                <w:szCs w:val="22"/>
                <w:lang w:val="en-US" w:eastAsia="zh-CN"/>
              </w:rPr>
              <w:t>尖底，带刻度，带盖，螺口，外经16mm，内径8.94mm，带盖长度113mm，整体可高温高压灭菌。</w:t>
            </w:r>
          </w:p>
        </w:tc>
        <w:tc>
          <w:tcPr>
            <w:tcW w:w="858" w:type="dxa"/>
            <w:shd w:val="clear" w:color="auto" w:fill="auto"/>
            <w:noWrap w:val="0"/>
            <w:vAlign w:val="center"/>
          </w:tcPr>
          <w:p w14:paraId="2E4C9C2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pacing w:val="20"/>
                <w:kern w:val="1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20"/>
                <w:kern w:val="10"/>
                <w:sz w:val="22"/>
                <w:szCs w:val="22"/>
                <w:lang w:val="en-US" w:eastAsia="zh-CN"/>
              </w:rPr>
              <w:t>个</w:t>
            </w:r>
          </w:p>
        </w:tc>
        <w:tc>
          <w:tcPr>
            <w:tcW w:w="819" w:type="dxa"/>
            <w:shd w:val="clear" w:color="auto" w:fill="auto"/>
            <w:noWrap w:val="0"/>
            <w:vAlign w:val="center"/>
          </w:tcPr>
          <w:p w14:paraId="33BACC8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pacing w:val="20"/>
                <w:kern w:val="1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20"/>
                <w:kern w:val="10"/>
                <w:sz w:val="22"/>
                <w:szCs w:val="22"/>
                <w:lang w:val="en-US" w:eastAsia="zh-CN"/>
              </w:rPr>
              <w:t>200</w:t>
            </w:r>
          </w:p>
        </w:tc>
        <w:tc>
          <w:tcPr>
            <w:tcW w:w="1225" w:type="dxa"/>
            <w:vMerge w:val="continue"/>
            <w:tcBorders/>
            <w:noWrap w:val="0"/>
            <w:vAlign w:val="center"/>
          </w:tcPr>
          <w:p w14:paraId="595D69AB">
            <w:pPr>
              <w:widowControl/>
              <w:jc w:val="center"/>
              <w:textAlignment w:val="top"/>
              <w:rPr>
                <w:rFonts w:hint="eastAsia" w:ascii="华文楷体" w:hAnsi="华文楷体" w:eastAsia="华文楷体" w:cs="华文楷体"/>
                <w:sz w:val="22"/>
              </w:rPr>
            </w:pPr>
          </w:p>
        </w:tc>
      </w:tr>
      <w:tr w14:paraId="245D97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516" w:type="dxa"/>
            <w:shd w:val="clear"/>
            <w:noWrap w:val="0"/>
            <w:vAlign w:val="center"/>
          </w:tcPr>
          <w:p w14:paraId="3DB5ED2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pacing w:val="20"/>
                <w:kern w:val="1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pacing w:val="20"/>
                <w:kern w:val="10"/>
                <w:sz w:val="21"/>
                <w:szCs w:val="21"/>
                <w:lang w:val="en-US" w:eastAsia="zh-CN"/>
              </w:rPr>
              <w:t>36</w:t>
            </w:r>
          </w:p>
        </w:tc>
        <w:tc>
          <w:tcPr>
            <w:tcW w:w="2139" w:type="dxa"/>
            <w:shd w:val="clear" w:color="auto" w:fill="auto"/>
            <w:noWrap w:val="0"/>
            <w:vAlign w:val="center"/>
          </w:tcPr>
          <w:p w14:paraId="07831C0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华文楷体" w:hAnsi="华文楷体" w:eastAsia="华文楷体" w:cs="华文楷体"/>
                <w:color w:val="auto"/>
                <w:kern w:val="2"/>
                <w:sz w:val="22"/>
                <w:szCs w:val="22"/>
                <w:highlight w:val="yellow"/>
                <w:lang w:val="en-US" w:eastAsia="zh-CN" w:bidi="ar-SA"/>
              </w:rPr>
            </w:pPr>
            <w:r>
              <w:rPr>
                <w:rFonts w:hint="eastAsia" w:ascii="华文楷体" w:hAnsi="华文楷体" w:eastAsia="华文楷体" w:cs="华文楷体"/>
                <w:color w:val="auto"/>
                <w:kern w:val="2"/>
                <w:sz w:val="22"/>
                <w:szCs w:val="22"/>
                <w:lang w:val="en-US" w:eastAsia="zh-CN" w:bidi="ar-SA"/>
              </w:rPr>
              <w:t>10uL</w:t>
            </w:r>
            <w:r>
              <w:rPr>
                <w:rFonts w:hint="eastAsia" w:ascii="华文楷体" w:hAnsi="华文楷体" w:eastAsia="华文楷体" w:cs="华文楷体"/>
                <w:color w:val="auto"/>
                <w:spacing w:val="20"/>
                <w:kern w:val="10"/>
                <w:sz w:val="22"/>
                <w:szCs w:val="22"/>
                <w:lang w:val="en-US" w:eastAsia="zh-CN"/>
              </w:rPr>
              <w:t>移液器枪头</w:t>
            </w:r>
          </w:p>
        </w:tc>
        <w:tc>
          <w:tcPr>
            <w:tcW w:w="2530" w:type="dxa"/>
            <w:shd w:val="clear" w:color="auto" w:fill="auto"/>
            <w:noWrap w:val="0"/>
            <w:vAlign w:val="center"/>
          </w:tcPr>
          <w:p w14:paraId="163779B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2"/>
                <w:szCs w:val="22"/>
                <w:lang w:val="en-US" w:eastAsia="zh-CN" w:bidi="ar-SA"/>
              </w:rPr>
              <w:t>1000个/包，优质，可高温高压灭菌</w:t>
            </w:r>
          </w:p>
        </w:tc>
        <w:tc>
          <w:tcPr>
            <w:tcW w:w="858" w:type="dxa"/>
            <w:shd w:val="clear" w:color="auto" w:fill="auto"/>
            <w:noWrap w:val="0"/>
            <w:vAlign w:val="center"/>
          </w:tcPr>
          <w:p w14:paraId="64315C3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2"/>
                <w:szCs w:val="22"/>
                <w:lang w:val="en-US" w:eastAsia="zh-CN" w:bidi="ar-SA"/>
              </w:rPr>
              <w:t>包</w:t>
            </w:r>
          </w:p>
        </w:tc>
        <w:tc>
          <w:tcPr>
            <w:tcW w:w="819" w:type="dxa"/>
            <w:shd w:val="clear" w:color="auto" w:fill="auto"/>
            <w:noWrap w:val="0"/>
            <w:vAlign w:val="center"/>
          </w:tcPr>
          <w:p w14:paraId="0F912D7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2"/>
                <w:szCs w:val="22"/>
                <w:lang w:val="en-US" w:eastAsia="zh-CN" w:bidi="ar-SA"/>
              </w:rPr>
              <w:t>3</w:t>
            </w:r>
          </w:p>
        </w:tc>
        <w:tc>
          <w:tcPr>
            <w:tcW w:w="1225" w:type="dxa"/>
            <w:vMerge w:val="continue"/>
            <w:tcBorders/>
            <w:noWrap w:val="0"/>
            <w:vAlign w:val="center"/>
          </w:tcPr>
          <w:p w14:paraId="6F6DA001">
            <w:pPr>
              <w:widowControl/>
              <w:jc w:val="center"/>
              <w:textAlignment w:val="top"/>
              <w:rPr>
                <w:rFonts w:hint="eastAsia" w:ascii="华文楷体" w:hAnsi="华文楷体" w:eastAsia="华文楷体" w:cs="华文楷体"/>
                <w:sz w:val="22"/>
              </w:rPr>
            </w:pPr>
          </w:p>
        </w:tc>
      </w:tr>
      <w:tr w14:paraId="3E6DB7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516" w:type="dxa"/>
            <w:shd w:val="clear"/>
            <w:noWrap w:val="0"/>
            <w:vAlign w:val="center"/>
          </w:tcPr>
          <w:p w14:paraId="3B42458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pacing w:val="20"/>
                <w:kern w:val="1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pacing w:val="20"/>
                <w:kern w:val="10"/>
                <w:sz w:val="21"/>
                <w:szCs w:val="21"/>
                <w:lang w:val="en-US" w:eastAsia="zh-CN"/>
              </w:rPr>
              <w:t>37</w:t>
            </w:r>
          </w:p>
        </w:tc>
        <w:tc>
          <w:tcPr>
            <w:tcW w:w="2139" w:type="dxa"/>
            <w:shd w:val="clear" w:color="auto" w:fill="auto"/>
            <w:noWrap w:val="0"/>
            <w:vAlign w:val="center"/>
          </w:tcPr>
          <w:p w14:paraId="3DBB723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华文楷体" w:hAnsi="华文楷体" w:eastAsia="华文楷体" w:cs="华文楷体"/>
                <w:color w:val="auto"/>
                <w:kern w:val="2"/>
                <w:sz w:val="22"/>
                <w:szCs w:val="22"/>
                <w:highlight w:val="yellow"/>
                <w:lang w:val="en-US" w:eastAsia="zh-CN" w:bidi="ar-SA"/>
              </w:rPr>
            </w:pPr>
            <w:r>
              <w:rPr>
                <w:rFonts w:hint="eastAsia" w:ascii="华文楷体" w:hAnsi="华文楷体" w:eastAsia="华文楷体" w:cs="华文楷体"/>
                <w:color w:val="auto"/>
                <w:kern w:val="2"/>
                <w:sz w:val="22"/>
                <w:szCs w:val="22"/>
                <w:lang w:val="en-US" w:eastAsia="zh-CN" w:bidi="ar-SA"/>
              </w:rPr>
              <w:t>200uL</w:t>
            </w:r>
            <w:r>
              <w:rPr>
                <w:rFonts w:hint="eastAsia" w:ascii="华文楷体" w:hAnsi="华文楷体" w:eastAsia="华文楷体" w:cs="华文楷体"/>
                <w:color w:val="auto"/>
                <w:spacing w:val="20"/>
                <w:kern w:val="10"/>
                <w:sz w:val="22"/>
                <w:szCs w:val="22"/>
                <w:lang w:val="en-US" w:eastAsia="zh-CN"/>
              </w:rPr>
              <w:t>移液器枪头</w:t>
            </w:r>
          </w:p>
        </w:tc>
        <w:tc>
          <w:tcPr>
            <w:tcW w:w="2530" w:type="dxa"/>
            <w:shd w:val="clear" w:color="auto" w:fill="auto"/>
            <w:noWrap w:val="0"/>
            <w:vAlign w:val="center"/>
          </w:tcPr>
          <w:p w14:paraId="68F99A2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pacing w:val="20"/>
                <w:kern w:val="1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2"/>
                <w:szCs w:val="22"/>
                <w:lang w:val="en-US" w:eastAsia="zh-CN" w:bidi="ar-SA"/>
              </w:rPr>
              <w:t>1000个/包，优质，可高温高压灭菌</w:t>
            </w:r>
          </w:p>
        </w:tc>
        <w:tc>
          <w:tcPr>
            <w:tcW w:w="858" w:type="dxa"/>
            <w:shd w:val="clear" w:color="auto" w:fill="auto"/>
            <w:noWrap w:val="0"/>
            <w:vAlign w:val="center"/>
          </w:tcPr>
          <w:p w14:paraId="3E5E825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pacing w:val="20"/>
                <w:kern w:val="1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2"/>
                <w:szCs w:val="22"/>
                <w:lang w:val="en-US" w:eastAsia="zh-CN" w:bidi="ar-SA"/>
              </w:rPr>
              <w:t>包</w:t>
            </w:r>
          </w:p>
        </w:tc>
        <w:tc>
          <w:tcPr>
            <w:tcW w:w="819" w:type="dxa"/>
            <w:shd w:val="clear" w:color="auto" w:fill="auto"/>
            <w:noWrap w:val="0"/>
            <w:vAlign w:val="center"/>
          </w:tcPr>
          <w:p w14:paraId="7DD5466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pacing w:val="20"/>
                <w:kern w:val="1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20"/>
                <w:kern w:val="10"/>
                <w:sz w:val="22"/>
                <w:szCs w:val="22"/>
                <w:lang w:val="en-US" w:eastAsia="zh-CN" w:bidi="ar-SA"/>
              </w:rPr>
              <w:t>5</w:t>
            </w:r>
          </w:p>
        </w:tc>
        <w:tc>
          <w:tcPr>
            <w:tcW w:w="1225" w:type="dxa"/>
            <w:vMerge w:val="continue"/>
            <w:tcBorders/>
            <w:noWrap w:val="0"/>
            <w:vAlign w:val="center"/>
          </w:tcPr>
          <w:p w14:paraId="6D4DC120">
            <w:pPr>
              <w:widowControl/>
              <w:jc w:val="center"/>
              <w:textAlignment w:val="top"/>
              <w:rPr>
                <w:rFonts w:hint="eastAsia" w:ascii="华文楷体" w:hAnsi="华文楷体" w:eastAsia="华文楷体" w:cs="华文楷体"/>
                <w:sz w:val="22"/>
              </w:rPr>
            </w:pPr>
          </w:p>
        </w:tc>
      </w:tr>
      <w:tr w14:paraId="2B14F8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516" w:type="dxa"/>
            <w:shd w:val="clear"/>
            <w:noWrap w:val="0"/>
            <w:vAlign w:val="center"/>
          </w:tcPr>
          <w:p w14:paraId="2258227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pacing w:val="20"/>
                <w:kern w:val="1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pacing w:val="20"/>
                <w:kern w:val="10"/>
                <w:sz w:val="21"/>
                <w:szCs w:val="21"/>
                <w:lang w:val="en-US" w:eastAsia="zh-CN"/>
              </w:rPr>
              <w:t>38</w:t>
            </w:r>
          </w:p>
        </w:tc>
        <w:tc>
          <w:tcPr>
            <w:tcW w:w="2139" w:type="dxa"/>
            <w:shd w:val="clear" w:color="auto" w:fill="auto"/>
            <w:noWrap w:val="0"/>
            <w:vAlign w:val="center"/>
          </w:tcPr>
          <w:p w14:paraId="1FBCB2D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华文楷体" w:hAnsi="华文楷体" w:eastAsia="华文楷体" w:cs="华文楷体"/>
                <w:color w:val="auto"/>
                <w:kern w:val="2"/>
                <w:sz w:val="22"/>
                <w:szCs w:val="22"/>
                <w:highlight w:val="yellow"/>
                <w:lang w:val="en-US" w:eastAsia="zh-CN" w:bidi="ar-SA"/>
              </w:rPr>
            </w:pPr>
            <w:r>
              <w:rPr>
                <w:rFonts w:hint="eastAsia" w:ascii="华文楷体" w:hAnsi="华文楷体" w:eastAsia="华文楷体" w:cs="华文楷体"/>
                <w:color w:val="auto"/>
                <w:kern w:val="2"/>
                <w:sz w:val="22"/>
                <w:szCs w:val="22"/>
                <w:lang w:val="en-US" w:eastAsia="zh-CN" w:bidi="ar-SA"/>
              </w:rPr>
              <w:t>1000uL</w:t>
            </w:r>
            <w:r>
              <w:rPr>
                <w:rFonts w:hint="eastAsia" w:ascii="华文楷体" w:hAnsi="华文楷体" w:eastAsia="华文楷体" w:cs="华文楷体"/>
                <w:color w:val="auto"/>
                <w:spacing w:val="20"/>
                <w:kern w:val="10"/>
                <w:sz w:val="22"/>
                <w:szCs w:val="22"/>
                <w:lang w:val="en-US" w:eastAsia="zh-CN"/>
              </w:rPr>
              <w:t>移液器枪头</w:t>
            </w:r>
          </w:p>
        </w:tc>
        <w:tc>
          <w:tcPr>
            <w:tcW w:w="2530" w:type="dxa"/>
            <w:shd w:val="clear" w:color="auto" w:fill="auto"/>
            <w:noWrap w:val="0"/>
            <w:vAlign w:val="center"/>
          </w:tcPr>
          <w:p w14:paraId="3D4E8E7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pacing w:val="20"/>
                <w:kern w:val="1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2"/>
                <w:szCs w:val="22"/>
                <w:lang w:val="en-US" w:eastAsia="zh-CN" w:bidi="ar-SA"/>
              </w:rPr>
              <w:t>1000个/包，优质，可高温高压灭菌</w:t>
            </w:r>
          </w:p>
        </w:tc>
        <w:tc>
          <w:tcPr>
            <w:tcW w:w="858" w:type="dxa"/>
            <w:shd w:val="clear" w:color="auto" w:fill="auto"/>
            <w:noWrap w:val="0"/>
            <w:vAlign w:val="center"/>
          </w:tcPr>
          <w:p w14:paraId="202ACAD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pacing w:val="20"/>
                <w:kern w:val="1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2"/>
                <w:szCs w:val="22"/>
                <w:lang w:val="en-US" w:eastAsia="zh-CN" w:bidi="ar-SA"/>
              </w:rPr>
              <w:t>包</w:t>
            </w:r>
          </w:p>
        </w:tc>
        <w:tc>
          <w:tcPr>
            <w:tcW w:w="819" w:type="dxa"/>
            <w:shd w:val="clear" w:color="auto" w:fill="auto"/>
            <w:noWrap w:val="0"/>
            <w:vAlign w:val="center"/>
          </w:tcPr>
          <w:p w14:paraId="531661C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pacing w:val="20"/>
                <w:kern w:val="1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20"/>
                <w:kern w:val="10"/>
                <w:sz w:val="22"/>
                <w:szCs w:val="22"/>
                <w:lang w:val="en-US" w:eastAsia="zh-CN" w:bidi="ar-SA"/>
              </w:rPr>
              <w:t>5</w:t>
            </w:r>
          </w:p>
        </w:tc>
        <w:tc>
          <w:tcPr>
            <w:tcW w:w="1225" w:type="dxa"/>
            <w:vMerge w:val="continue"/>
            <w:tcBorders/>
            <w:noWrap w:val="0"/>
            <w:vAlign w:val="center"/>
          </w:tcPr>
          <w:p w14:paraId="7E5F59BF">
            <w:pPr>
              <w:widowControl/>
              <w:jc w:val="center"/>
              <w:textAlignment w:val="top"/>
              <w:rPr>
                <w:rFonts w:hint="eastAsia" w:ascii="华文楷体" w:hAnsi="华文楷体" w:eastAsia="华文楷体" w:cs="华文楷体"/>
                <w:sz w:val="22"/>
              </w:rPr>
            </w:pPr>
          </w:p>
        </w:tc>
      </w:tr>
      <w:tr w14:paraId="570097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516" w:type="dxa"/>
            <w:shd w:val="clear"/>
            <w:noWrap w:val="0"/>
            <w:vAlign w:val="center"/>
          </w:tcPr>
          <w:p w14:paraId="3EDEDAE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pacing w:val="20"/>
                <w:kern w:val="1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pacing w:val="20"/>
                <w:kern w:val="10"/>
                <w:sz w:val="21"/>
                <w:szCs w:val="21"/>
                <w:lang w:val="en-US" w:eastAsia="zh-CN"/>
              </w:rPr>
              <w:t>39</w:t>
            </w:r>
          </w:p>
        </w:tc>
        <w:tc>
          <w:tcPr>
            <w:tcW w:w="2139" w:type="dxa"/>
            <w:shd w:val="clear" w:color="auto" w:fill="auto"/>
            <w:noWrap w:val="0"/>
            <w:vAlign w:val="center"/>
          </w:tcPr>
          <w:p w14:paraId="72BA2C6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华文楷体" w:hAnsi="华文楷体" w:eastAsia="华文楷体" w:cs="华文楷体"/>
                <w:color w:val="auto"/>
                <w:kern w:val="2"/>
                <w:sz w:val="22"/>
                <w:szCs w:val="22"/>
                <w:highlight w:val="yellow"/>
                <w:lang w:val="en-US" w:eastAsia="zh-CN" w:bidi="ar-SA"/>
              </w:rPr>
            </w:pPr>
            <w:r>
              <w:rPr>
                <w:rFonts w:hint="eastAsia" w:ascii="华文楷体" w:hAnsi="华文楷体" w:eastAsia="华文楷体" w:cs="华文楷体"/>
                <w:color w:val="auto"/>
                <w:spacing w:val="20"/>
                <w:kern w:val="10"/>
                <w:sz w:val="22"/>
                <w:szCs w:val="22"/>
                <w:lang w:val="en-US" w:eastAsia="zh-CN"/>
              </w:rPr>
              <w:t>5mL移液器枪头</w:t>
            </w:r>
          </w:p>
        </w:tc>
        <w:tc>
          <w:tcPr>
            <w:tcW w:w="2530" w:type="dxa"/>
            <w:shd w:val="clear" w:color="auto" w:fill="auto"/>
            <w:noWrap w:val="0"/>
            <w:vAlign w:val="center"/>
          </w:tcPr>
          <w:p w14:paraId="51657BA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pacing w:val="20"/>
                <w:kern w:val="1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2"/>
                <w:szCs w:val="22"/>
                <w:lang w:val="en-US" w:eastAsia="zh-CN" w:bidi="ar-SA"/>
              </w:rPr>
              <w:t>50个/包，优质，可高温高压灭菌</w:t>
            </w:r>
          </w:p>
        </w:tc>
        <w:tc>
          <w:tcPr>
            <w:tcW w:w="858" w:type="dxa"/>
            <w:shd w:val="clear" w:color="auto" w:fill="auto"/>
            <w:noWrap w:val="0"/>
            <w:vAlign w:val="center"/>
          </w:tcPr>
          <w:p w14:paraId="55AEA1B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pacing w:val="20"/>
                <w:kern w:val="1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2"/>
                <w:szCs w:val="22"/>
                <w:lang w:val="en-US" w:eastAsia="zh-CN" w:bidi="ar-SA"/>
              </w:rPr>
              <w:t>包</w:t>
            </w:r>
          </w:p>
        </w:tc>
        <w:tc>
          <w:tcPr>
            <w:tcW w:w="819" w:type="dxa"/>
            <w:shd w:val="clear" w:color="auto" w:fill="auto"/>
            <w:noWrap w:val="0"/>
            <w:vAlign w:val="center"/>
          </w:tcPr>
          <w:p w14:paraId="538E593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pacing w:val="20"/>
                <w:kern w:val="1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20"/>
                <w:kern w:val="10"/>
                <w:sz w:val="22"/>
                <w:szCs w:val="22"/>
                <w:lang w:val="en-US" w:eastAsia="zh-CN" w:bidi="ar-SA"/>
              </w:rPr>
              <w:t>15</w:t>
            </w:r>
          </w:p>
        </w:tc>
        <w:tc>
          <w:tcPr>
            <w:tcW w:w="1225" w:type="dxa"/>
            <w:vMerge w:val="continue"/>
            <w:tcBorders/>
            <w:noWrap w:val="0"/>
            <w:vAlign w:val="center"/>
          </w:tcPr>
          <w:p w14:paraId="665EE1C5">
            <w:pPr>
              <w:widowControl/>
              <w:jc w:val="center"/>
              <w:textAlignment w:val="top"/>
              <w:rPr>
                <w:rFonts w:hint="eastAsia" w:ascii="华文楷体" w:hAnsi="华文楷体" w:eastAsia="华文楷体" w:cs="华文楷体"/>
                <w:sz w:val="22"/>
              </w:rPr>
            </w:pPr>
          </w:p>
        </w:tc>
      </w:tr>
      <w:tr w14:paraId="4ADEC8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516" w:type="dxa"/>
            <w:shd w:val="clear"/>
            <w:noWrap w:val="0"/>
            <w:vAlign w:val="center"/>
          </w:tcPr>
          <w:p w14:paraId="0025C5E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pacing w:val="20"/>
                <w:kern w:val="1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pacing w:val="20"/>
                <w:kern w:val="10"/>
                <w:sz w:val="21"/>
                <w:szCs w:val="21"/>
                <w:lang w:val="en-US" w:eastAsia="zh-CN"/>
              </w:rPr>
              <w:t>40</w:t>
            </w:r>
          </w:p>
        </w:tc>
        <w:tc>
          <w:tcPr>
            <w:tcW w:w="2139" w:type="dxa"/>
            <w:shd w:val="clear" w:color="auto" w:fill="auto"/>
            <w:noWrap w:val="0"/>
            <w:vAlign w:val="center"/>
          </w:tcPr>
          <w:p w14:paraId="12C9296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华文楷体" w:hAnsi="华文楷体" w:eastAsia="华文楷体" w:cs="华文楷体"/>
                <w:color w:val="auto"/>
                <w:spacing w:val="20"/>
                <w:kern w:val="1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华文楷体" w:hAnsi="华文楷体" w:eastAsia="华文楷体" w:cs="华文楷体"/>
                <w:color w:val="auto"/>
                <w:spacing w:val="20"/>
                <w:kern w:val="10"/>
                <w:sz w:val="22"/>
                <w:szCs w:val="22"/>
                <w:lang w:val="en-US" w:eastAsia="zh-CN"/>
              </w:rPr>
              <w:t>1.5mLEP管</w:t>
            </w:r>
          </w:p>
        </w:tc>
        <w:tc>
          <w:tcPr>
            <w:tcW w:w="2530" w:type="dxa"/>
            <w:shd w:val="clear" w:color="auto" w:fill="auto"/>
            <w:noWrap w:val="0"/>
            <w:vAlign w:val="center"/>
          </w:tcPr>
          <w:p w14:paraId="3F77594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pacing w:val="20"/>
                <w:kern w:val="1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pacing w:val="20"/>
                <w:kern w:val="10"/>
                <w:sz w:val="22"/>
                <w:szCs w:val="22"/>
                <w:lang w:val="en-US" w:eastAsia="zh-CN"/>
              </w:rPr>
              <w:t>500支/盒，无菌、无热源、无RNA酶、无DNA酶</w:t>
            </w:r>
          </w:p>
        </w:tc>
        <w:tc>
          <w:tcPr>
            <w:tcW w:w="858" w:type="dxa"/>
            <w:shd w:val="clear" w:color="auto" w:fill="auto"/>
            <w:noWrap w:val="0"/>
            <w:vAlign w:val="center"/>
          </w:tcPr>
          <w:p w14:paraId="64F3EAB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pacing w:val="20"/>
                <w:kern w:val="1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20"/>
                <w:kern w:val="10"/>
                <w:sz w:val="22"/>
                <w:szCs w:val="22"/>
                <w:lang w:val="en-US" w:eastAsia="zh-CN"/>
              </w:rPr>
              <w:t>盒</w:t>
            </w:r>
          </w:p>
        </w:tc>
        <w:tc>
          <w:tcPr>
            <w:tcW w:w="819" w:type="dxa"/>
            <w:shd w:val="clear" w:color="auto" w:fill="auto"/>
            <w:noWrap w:val="0"/>
            <w:vAlign w:val="center"/>
          </w:tcPr>
          <w:p w14:paraId="6DB82AA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pacing w:val="20"/>
                <w:kern w:val="1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20"/>
                <w:kern w:val="10"/>
                <w:sz w:val="22"/>
                <w:szCs w:val="22"/>
                <w:lang w:val="en-US" w:eastAsia="zh-CN"/>
              </w:rPr>
              <w:t>3</w:t>
            </w:r>
          </w:p>
        </w:tc>
        <w:tc>
          <w:tcPr>
            <w:tcW w:w="1225" w:type="dxa"/>
            <w:vMerge w:val="continue"/>
            <w:tcBorders/>
            <w:noWrap w:val="0"/>
            <w:vAlign w:val="center"/>
          </w:tcPr>
          <w:p w14:paraId="50A421C6">
            <w:pPr>
              <w:widowControl/>
              <w:jc w:val="center"/>
              <w:textAlignment w:val="top"/>
              <w:rPr>
                <w:rFonts w:hint="eastAsia" w:ascii="华文楷体" w:hAnsi="华文楷体" w:eastAsia="华文楷体" w:cs="华文楷体"/>
                <w:sz w:val="22"/>
              </w:rPr>
            </w:pPr>
          </w:p>
        </w:tc>
      </w:tr>
      <w:tr w14:paraId="3BC5F4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516" w:type="dxa"/>
            <w:shd w:val="clear"/>
            <w:noWrap w:val="0"/>
            <w:vAlign w:val="center"/>
          </w:tcPr>
          <w:p w14:paraId="488CE40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pacing w:val="20"/>
                <w:kern w:val="1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pacing w:val="20"/>
                <w:kern w:val="10"/>
                <w:sz w:val="21"/>
                <w:szCs w:val="21"/>
                <w:lang w:val="en-US" w:eastAsia="zh-CN"/>
              </w:rPr>
              <w:t>41</w:t>
            </w:r>
          </w:p>
        </w:tc>
        <w:tc>
          <w:tcPr>
            <w:tcW w:w="2139" w:type="dxa"/>
            <w:shd w:val="clear" w:color="auto" w:fill="auto"/>
            <w:noWrap w:val="0"/>
            <w:vAlign w:val="center"/>
          </w:tcPr>
          <w:p w14:paraId="7B0F53E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华文楷体" w:hAnsi="华文楷体" w:eastAsia="华文楷体" w:cs="华文楷体"/>
                <w:color w:val="auto"/>
                <w:spacing w:val="20"/>
                <w:kern w:val="1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华文楷体" w:hAnsi="华文楷体" w:eastAsia="华文楷体" w:cs="华文楷体"/>
                <w:color w:val="auto"/>
                <w:spacing w:val="20"/>
                <w:kern w:val="10"/>
                <w:sz w:val="22"/>
                <w:szCs w:val="22"/>
                <w:lang w:val="en-US" w:eastAsia="zh-CN"/>
              </w:rPr>
              <w:t>0.6mLEP管</w:t>
            </w:r>
          </w:p>
        </w:tc>
        <w:tc>
          <w:tcPr>
            <w:tcW w:w="2530" w:type="dxa"/>
            <w:shd w:val="clear" w:color="auto" w:fill="auto"/>
            <w:noWrap w:val="0"/>
            <w:vAlign w:val="center"/>
          </w:tcPr>
          <w:p w14:paraId="2E4F8D4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pacing w:val="20"/>
                <w:kern w:val="1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pacing w:val="20"/>
                <w:kern w:val="10"/>
                <w:sz w:val="22"/>
                <w:szCs w:val="22"/>
                <w:lang w:val="en-US" w:eastAsia="zh-CN"/>
              </w:rPr>
              <w:t>1000支/盒，无菌、无热源、无RNA酶、无DNA酶</w:t>
            </w:r>
          </w:p>
        </w:tc>
        <w:tc>
          <w:tcPr>
            <w:tcW w:w="858" w:type="dxa"/>
            <w:shd w:val="clear" w:color="auto" w:fill="auto"/>
            <w:noWrap w:val="0"/>
            <w:vAlign w:val="center"/>
          </w:tcPr>
          <w:p w14:paraId="17D01D7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pacing w:val="20"/>
                <w:kern w:val="1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20"/>
                <w:kern w:val="10"/>
                <w:sz w:val="22"/>
                <w:szCs w:val="22"/>
                <w:lang w:val="en-US" w:eastAsia="zh-CN"/>
              </w:rPr>
              <w:t>盒</w:t>
            </w:r>
          </w:p>
        </w:tc>
        <w:tc>
          <w:tcPr>
            <w:tcW w:w="819" w:type="dxa"/>
            <w:shd w:val="clear" w:color="auto" w:fill="auto"/>
            <w:noWrap w:val="0"/>
            <w:vAlign w:val="center"/>
          </w:tcPr>
          <w:p w14:paraId="34892C1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pacing w:val="20"/>
                <w:kern w:val="1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20"/>
                <w:kern w:val="10"/>
                <w:sz w:val="22"/>
                <w:szCs w:val="22"/>
                <w:lang w:val="en-US" w:eastAsia="zh-CN"/>
              </w:rPr>
              <w:t>2</w:t>
            </w:r>
          </w:p>
        </w:tc>
        <w:tc>
          <w:tcPr>
            <w:tcW w:w="1225" w:type="dxa"/>
            <w:vMerge w:val="continue"/>
            <w:tcBorders/>
            <w:noWrap w:val="0"/>
            <w:vAlign w:val="center"/>
          </w:tcPr>
          <w:p w14:paraId="0C6004AA">
            <w:pPr>
              <w:widowControl/>
              <w:jc w:val="center"/>
              <w:textAlignment w:val="top"/>
              <w:rPr>
                <w:rFonts w:hint="eastAsia" w:ascii="华文楷体" w:hAnsi="华文楷体" w:eastAsia="华文楷体" w:cs="华文楷体"/>
                <w:sz w:val="22"/>
              </w:rPr>
            </w:pPr>
          </w:p>
        </w:tc>
      </w:tr>
      <w:tr w14:paraId="0EA475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516" w:type="dxa"/>
            <w:shd w:val="clear"/>
            <w:noWrap w:val="0"/>
            <w:vAlign w:val="center"/>
          </w:tcPr>
          <w:p w14:paraId="6FBA0A4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pacing w:val="20"/>
                <w:kern w:val="1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pacing w:val="20"/>
                <w:kern w:val="10"/>
                <w:sz w:val="21"/>
                <w:szCs w:val="21"/>
                <w:lang w:val="en-US" w:eastAsia="zh-CN"/>
              </w:rPr>
              <w:t>42</w:t>
            </w:r>
          </w:p>
        </w:tc>
        <w:tc>
          <w:tcPr>
            <w:tcW w:w="2139" w:type="dxa"/>
            <w:shd w:val="clear" w:color="auto" w:fill="auto"/>
            <w:noWrap w:val="0"/>
            <w:vAlign w:val="center"/>
          </w:tcPr>
          <w:p w14:paraId="403931A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华文楷体" w:hAnsi="华文楷体" w:eastAsia="华文楷体" w:cs="华文楷体"/>
                <w:color w:val="auto"/>
                <w:spacing w:val="20"/>
                <w:kern w:val="1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华文楷体" w:hAnsi="华文楷体" w:eastAsia="华文楷体" w:cs="华文楷体"/>
                <w:color w:val="auto"/>
                <w:spacing w:val="20"/>
                <w:kern w:val="10"/>
                <w:sz w:val="22"/>
                <w:szCs w:val="22"/>
                <w:lang w:val="en-US" w:eastAsia="zh-CN"/>
              </w:rPr>
              <w:t>0.2mLEP管</w:t>
            </w:r>
          </w:p>
        </w:tc>
        <w:tc>
          <w:tcPr>
            <w:tcW w:w="2530" w:type="dxa"/>
            <w:shd w:val="clear" w:color="auto" w:fill="auto"/>
            <w:noWrap w:val="0"/>
            <w:vAlign w:val="center"/>
          </w:tcPr>
          <w:p w14:paraId="50375A2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pacing w:val="20"/>
                <w:kern w:val="1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pacing w:val="20"/>
                <w:kern w:val="10"/>
                <w:sz w:val="22"/>
                <w:szCs w:val="22"/>
                <w:lang w:val="en-US" w:eastAsia="zh-CN"/>
              </w:rPr>
              <w:t>1000支/盒，无菌、无热源、无RNA酶、无DNA酶</w:t>
            </w:r>
          </w:p>
        </w:tc>
        <w:tc>
          <w:tcPr>
            <w:tcW w:w="858" w:type="dxa"/>
            <w:shd w:val="clear" w:color="auto" w:fill="auto"/>
            <w:noWrap w:val="0"/>
            <w:vAlign w:val="center"/>
          </w:tcPr>
          <w:p w14:paraId="6CACFA0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pacing w:val="20"/>
                <w:kern w:val="1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20"/>
                <w:kern w:val="10"/>
                <w:sz w:val="22"/>
                <w:szCs w:val="22"/>
                <w:lang w:val="en-US" w:eastAsia="zh-CN"/>
              </w:rPr>
              <w:t>盒</w:t>
            </w:r>
          </w:p>
        </w:tc>
        <w:tc>
          <w:tcPr>
            <w:tcW w:w="819" w:type="dxa"/>
            <w:shd w:val="clear" w:color="auto" w:fill="auto"/>
            <w:noWrap w:val="0"/>
            <w:vAlign w:val="center"/>
          </w:tcPr>
          <w:p w14:paraId="60EF76E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pacing w:val="20"/>
                <w:kern w:val="1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20"/>
                <w:kern w:val="10"/>
                <w:sz w:val="22"/>
                <w:szCs w:val="22"/>
                <w:lang w:val="en-US" w:eastAsia="zh-CN"/>
              </w:rPr>
              <w:t>2</w:t>
            </w:r>
          </w:p>
        </w:tc>
        <w:tc>
          <w:tcPr>
            <w:tcW w:w="1225" w:type="dxa"/>
            <w:vMerge w:val="continue"/>
            <w:tcBorders/>
            <w:noWrap w:val="0"/>
            <w:vAlign w:val="center"/>
          </w:tcPr>
          <w:p w14:paraId="0AEBA5CF">
            <w:pPr>
              <w:widowControl/>
              <w:jc w:val="center"/>
              <w:textAlignment w:val="top"/>
              <w:rPr>
                <w:rFonts w:hint="eastAsia" w:ascii="华文楷体" w:hAnsi="华文楷体" w:eastAsia="华文楷体" w:cs="华文楷体"/>
                <w:sz w:val="22"/>
              </w:rPr>
            </w:pPr>
          </w:p>
        </w:tc>
      </w:tr>
      <w:tr w14:paraId="4DAB15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516" w:type="dxa"/>
            <w:shd w:val="clear"/>
            <w:noWrap w:val="0"/>
            <w:vAlign w:val="center"/>
          </w:tcPr>
          <w:p w14:paraId="6689DAE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pacing w:val="20"/>
                <w:kern w:val="1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pacing w:val="20"/>
                <w:kern w:val="10"/>
                <w:sz w:val="21"/>
                <w:szCs w:val="21"/>
                <w:lang w:val="en-US" w:eastAsia="zh-CN"/>
              </w:rPr>
              <w:t>43</w:t>
            </w:r>
          </w:p>
        </w:tc>
        <w:tc>
          <w:tcPr>
            <w:tcW w:w="2139" w:type="dxa"/>
            <w:shd w:val="clear" w:color="auto" w:fill="auto"/>
            <w:noWrap w:val="0"/>
            <w:vAlign w:val="center"/>
          </w:tcPr>
          <w:p w14:paraId="382924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楷体" w:hAnsi="华文楷体" w:eastAsia="华文楷体" w:cs="华文楷体"/>
                <w:color w:val="auto"/>
                <w:kern w:val="2"/>
                <w:sz w:val="22"/>
                <w:szCs w:val="22"/>
                <w:highlight w:val="yellow"/>
                <w:lang w:val="en-US" w:eastAsia="zh-CN" w:bidi="ar-SA"/>
              </w:rPr>
            </w:pPr>
            <w:r>
              <w:rPr>
                <w:rFonts w:hint="eastAsia" w:ascii="华文楷体" w:hAnsi="华文楷体" w:eastAsia="华文楷体" w:cs="华文楷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10uL，96孔，加长，移液器枪头盒</w:t>
            </w:r>
          </w:p>
        </w:tc>
        <w:tc>
          <w:tcPr>
            <w:tcW w:w="2530" w:type="dxa"/>
            <w:shd w:val="clear" w:color="auto" w:fill="auto"/>
            <w:noWrap w:val="0"/>
            <w:vAlign w:val="center"/>
          </w:tcPr>
          <w:p w14:paraId="74473787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color w:val="auto"/>
                <w:spacing w:val="20"/>
                <w:kern w:val="1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10uL，96孔，加长，可高温高压灭菌，</w:t>
            </w:r>
          </w:p>
        </w:tc>
        <w:tc>
          <w:tcPr>
            <w:tcW w:w="858" w:type="dxa"/>
            <w:shd w:val="clear" w:color="auto" w:fill="auto"/>
            <w:noWrap w:val="0"/>
            <w:vAlign w:val="center"/>
          </w:tcPr>
          <w:p w14:paraId="69B67FE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pacing w:val="20"/>
                <w:kern w:val="1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20"/>
                <w:kern w:val="10"/>
                <w:sz w:val="22"/>
                <w:szCs w:val="22"/>
                <w:lang w:val="en-US" w:eastAsia="zh-CN"/>
              </w:rPr>
              <w:t>个</w:t>
            </w:r>
          </w:p>
        </w:tc>
        <w:tc>
          <w:tcPr>
            <w:tcW w:w="819" w:type="dxa"/>
            <w:shd w:val="clear" w:color="auto" w:fill="auto"/>
            <w:noWrap w:val="0"/>
            <w:vAlign w:val="center"/>
          </w:tcPr>
          <w:p w14:paraId="6D6617F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pacing w:val="20"/>
                <w:kern w:val="1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20"/>
                <w:kern w:val="10"/>
                <w:sz w:val="22"/>
                <w:szCs w:val="22"/>
                <w:lang w:val="en-US" w:eastAsia="zh-CN"/>
              </w:rPr>
              <w:t>5</w:t>
            </w:r>
          </w:p>
        </w:tc>
        <w:tc>
          <w:tcPr>
            <w:tcW w:w="1225" w:type="dxa"/>
            <w:vMerge w:val="continue"/>
            <w:tcBorders/>
            <w:noWrap w:val="0"/>
            <w:vAlign w:val="center"/>
          </w:tcPr>
          <w:p w14:paraId="0E493C47">
            <w:pPr>
              <w:widowControl/>
              <w:jc w:val="center"/>
              <w:textAlignment w:val="top"/>
              <w:rPr>
                <w:rFonts w:hint="eastAsia" w:ascii="华文楷体" w:hAnsi="华文楷体" w:eastAsia="华文楷体" w:cs="华文楷体"/>
                <w:sz w:val="22"/>
              </w:rPr>
            </w:pPr>
          </w:p>
        </w:tc>
      </w:tr>
      <w:tr w14:paraId="7A2644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516" w:type="dxa"/>
            <w:shd w:val="clear"/>
            <w:noWrap w:val="0"/>
            <w:vAlign w:val="center"/>
          </w:tcPr>
          <w:p w14:paraId="475FDE7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pacing w:val="20"/>
                <w:kern w:val="1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pacing w:val="20"/>
                <w:kern w:val="10"/>
                <w:sz w:val="21"/>
                <w:szCs w:val="21"/>
                <w:lang w:val="en-US" w:eastAsia="zh-CN"/>
              </w:rPr>
              <w:t>44</w:t>
            </w:r>
          </w:p>
        </w:tc>
        <w:tc>
          <w:tcPr>
            <w:tcW w:w="2139" w:type="dxa"/>
            <w:shd w:val="clear" w:color="auto" w:fill="auto"/>
            <w:noWrap w:val="0"/>
            <w:vAlign w:val="center"/>
          </w:tcPr>
          <w:p w14:paraId="5C0A6C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楷体" w:hAnsi="华文楷体" w:eastAsia="华文楷体" w:cs="华文楷体"/>
                <w:color w:val="auto"/>
                <w:kern w:val="2"/>
                <w:sz w:val="22"/>
                <w:szCs w:val="22"/>
                <w:highlight w:val="yellow"/>
                <w:lang w:val="en-US" w:eastAsia="zh-CN" w:bidi="ar-SA"/>
              </w:rPr>
            </w:pPr>
            <w:r>
              <w:rPr>
                <w:rFonts w:hint="eastAsia" w:ascii="华文楷体" w:hAnsi="华文楷体" w:eastAsia="华文楷体" w:cs="华文楷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200uL，96孔，加长，移液器枪头盒</w:t>
            </w:r>
          </w:p>
        </w:tc>
        <w:tc>
          <w:tcPr>
            <w:tcW w:w="2530" w:type="dxa"/>
            <w:shd w:val="clear" w:color="auto" w:fill="auto"/>
            <w:noWrap w:val="0"/>
            <w:vAlign w:val="center"/>
          </w:tcPr>
          <w:p w14:paraId="1C344353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color w:val="auto"/>
                <w:spacing w:val="20"/>
                <w:kern w:val="1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200uL，96孔，加长，可高温高压灭菌</w:t>
            </w:r>
          </w:p>
        </w:tc>
        <w:tc>
          <w:tcPr>
            <w:tcW w:w="858" w:type="dxa"/>
            <w:shd w:val="clear" w:color="auto" w:fill="auto"/>
            <w:noWrap w:val="0"/>
            <w:vAlign w:val="center"/>
          </w:tcPr>
          <w:p w14:paraId="5967D7E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pacing w:val="20"/>
                <w:kern w:val="1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20"/>
                <w:kern w:val="10"/>
                <w:sz w:val="22"/>
                <w:szCs w:val="22"/>
                <w:lang w:val="en-US" w:eastAsia="zh-CN"/>
              </w:rPr>
              <w:t>个</w:t>
            </w:r>
          </w:p>
        </w:tc>
        <w:tc>
          <w:tcPr>
            <w:tcW w:w="819" w:type="dxa"/>
            <w:shd w:val="clear" w:color="auto" w:fill="auto"/>
            <w:noWrap w:val="0"/>
            <w:vAlign w:val="center"/>
          </w:tcPr>
          <w:p w14:paraId="1AF827A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pacing w:val="20"/>
                <w:kern w:val="1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20"/>
                <w:kern w:val="10"/>
                <w:sz w:val="22"/>
                <w:szCs w:val="22"/>
                <w:lang w:val="en-US" w:eastAsia="zh-CN"/>
              </w:rPr>
              <w:t>5</w:t>
            </w:r>
          </w:p>
        </w:tc>
        <w:tc>
          <w:tcPr>
            <w:tcW w:w="1225" w:type="dxa"/>
            <w:vMerge w:val="continue"/>
            <w:tcBorders/>
            <w:noWrap w:val="0"/>
            <w:vAlign w:val="center"/>
          </w:tcPr>
          <w:p w14:paraId="3410E483">
            <w:pPr>
              <w:widowControl/>
              <w:jc w:val="center"/>
              <w:textAlignment w:val="top"/>
              <w:rPr>
                <w:rFonts w:hint="eastAsia" w:ascii="华文楷体" w:hAnsi="华文楷体" w:eastAsia="华文楷体" w:cs="华文楷体"/>
                <w:sz w:val="22"/>
              </w:rPr>
            </w:pPr>
          </w:p>
        </w:tc>
      </w:tr>
      <w:tr w14:paraId="2F99AE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516" w:type="dxa"/>
            <w:shd w:val="clear"/>
            <w:noWrap w:val="0"/>
            <w:vAlign w:val="center"/>
          </w:tcPr>
          <w:p w14:paraId="717B73B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pacing w:val="20"/>
                <w:kern w:val="1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pacing w:val="20"/>
                <w:kern w:val="10"/>
                <w:sz w:val="21"/>
                <w:szCs w:val="21"/>
                <w:lang w:val="en-US" w:eastAsia="zh-CN"/>
              </w:rPr>
              <w:t>45</w:t>
            </w:r>
          </w:p>
        </w:tc>
        <w:tc>
          <w:tcPr>
            <w:tcW w:w="2139" w:type="dxa"/>
            <w:shd w:val="clear" w:color="auto" w:fill="auto"/>
            <w:noWrap w:val="0"/>
            <w:vAlign w:val="center"/>
          </w:tcPr>
          <w:p w14:paraId="32A5D9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楷体" w:hAnsi="华文楷体" w:eastAsia="华文楷体" w:cs="华文楷体"/>
                <w:color w:val="auto"/>
                <w:kern w:val="2"/>
                <w:sz w:val="22"/>
                <w:szCs w:val="22"/>
                <w:highlight w:val="yellow"/>
                <w:lang w:val="en-US" w:eastAsia="zh-CN" w:bidi="ar-SA"/>
              </w:rPr>
            </w:pPr>
            <w:r>
              <w:rPr>
                <w:rFonts w:hint="eastAsia" w:ascii="华文楷体" w:hAnsi="华文楷体" w:eastAsia="华文楷体" w:cs="华文楷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1000uL，加长，96孔，移液器枪头盒</w:t>
            </w:r>
          </w:p>
        </w:tc>
        <w:tc>
          <w:tcPr>
            <w:tcW w:w="2530" w:type="dxa"/>
            <w:shd w:val="clear" w:color="auto" w:fill="auto"/>
            <w:noWrap w:val="0"/>
            <w:vAlign w:val="center"/>
          </w:tcPr>
          <w:p w14:paraId="4B2A16D1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color w:val="auto"/>
                <w:spacing w:val="20"/>
                <w:kern w:val="1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1000uL，96孔，加长，可高温高压灭菌</w:t>
            </w:r>
          </w:p>
        </w:tc>
        <w:tc>
          <w:tcPr>
            <w:tcW w:w="858" w:type="dxa"/>
            <w:shd w:val="clear" w:color="auto" w:fill="auto"/>
            <w:noWrap w:val="0"/>
            <w:vAlign w:val="center"/>
          </w:tcPr>
          <w:p w14:paraId="3009D60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pacing w:val="20"/>
                <w:kern w:val="1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20"/>
                <w:kern w:val="10"/>
                <w:sz w:val="22"/>
                <w:szCs w:val="22"/>
                <w:lang w:val="en-US" w:eastAsia="zh-CN"/>
              </w:rPr>
              <w:t>个</w:t>
            </w:r>
          </w:p>
        </w:tc>
        <w:tc>
          <w:tcPr>
            <w:tcW w:w="819" w:type="dxa"/>
            <w:shd w:val="clear" w:color="auto" w:fill="auto"/>
            <w:noWrap w:val="0"/>
            <w:vAlign w:val="center"/>
          </w:tcPr>
          <w:p w14:paraId="658F5E2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pacing w:val="20"/>
                <w:kern w:val="1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20"/>
                <w:kern w:val="10"/>
                <w:sz w:val="22"/>
                <w:szCs w:val="22"/>
                <w:lang w:val="en-US" w:eastAsia="zh-CN"/>
              </w:rPr>
              <w:t>5</w:t>
            </w:r>
          </w:p>
        </w:tc>
        <w:tc>
          <w:tcPr>
            <w:tcW w:w="1225" w:type="dxa"/>
            <w:vMerge w:val="continue"/>
            <w:tcBorders/>
            <w:noWrap w:val="0"/>
            <w:vAlign w:val="center"/>
          </w:tcPr>
          <w:p w14:paraId="44D2664B">
            <w:pPr>
              <w:widowControl/>
              <w:jc w:val="center"/>
              <w:textAlignment w:val="top"/>
              <w:rPr>
                <w:rFonts w:hint="eastAsia" w:ascii="华文楷体" w:hAnsi="华文楷体" w:eastAsia="华文楷体" w:cs="华文楷体"/>
                <w:sz w:val="22"/>
              </w:rPr>
            </w:pPr>
          </w:p>
        </w:tc>
      </w:tr>
      <w:tr w14:paraId="33B07D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516" w:type="dxa"/>
            <w:shd w:val="clear"/>
            <w:noWrap w:val="0"/>
            <w:vAlign w:val="center"/>
          </w:tcPr>
          <w:p w14:paraId="58AD03B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pacing w:val="20"/>
                <w:kern w:val="1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pacing w:val="20"/>
                <w:kern w:val="10"/>
                <w:sz w:val="21"/>
                <w:szCs w:val="21"/>
                <w:lang w:val="en-US" w:eastAsia="zh-CN"/>
              </w:rPr>
              <w:t>46</w:t>
            </w:r>
          </w:p>
        </w:tc>
        <w:tc>
          <w:tcPr>
            <w:tcW w:w="2139" w:type="dxa"/>
            <w:shd w:val="clear" w:color="auto" w:fill="auto"/>
            <w:noWrap w:val="0"/>
            <w:vAlign w:val="center"/>
          </w:tcPr>
          <w:p w14:paraId="03E3BE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楷体" w:hAnsi="华文楷体" w:eastAsia="华文楷体" w:cs="华文楷体"/>
                <w:color w:val="auto"/>
                <w:kern w:val="2"/>
                <w:sz w:val="22"/>
                <w:szCs w:val="22"/>
                <w:highlight w:val="yellow"/>
                <w:lang w:val="en-US" w:eastAsia="zh-CN" w:bidi="ar-SA"/>
              </w:rPr>
            </w:pPr>
            <w:r>
              <w:rPr>
                <w:rFonts w:hint="eastAsia" w:ascii="华文楷体" w:hAnsi="华文楷体" w:eastAsia="华文楷体" w:cs="华文楷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5mL，28孔，移液器枪头盒</w:t>
            </w:r>
          </w:p>
        </w:tc>
        <w:tc>
          <w:tcPr>
            <w:tcW w:w="2530" w:type="dxa"/>
            <w:shd w:val="clear" w:color="auto" w:fill="auto"/>
            <w:noWrap w:val="0"/>
            <w:vAlign w:val="center"/>
          </w:tcPr>
          <w:p w14:paraId="04665E07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color w:val="auto"/>
                <w:spacing w:val="20"/>
                <w:kern w:val="1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5mL，28孔，可高温高压灭菌</w:t>
            </w:r>
          </w:p>
        </w:tc>
        <w:tc>
          <w:tcPr>
            <w:tcW w:w="858" w:type="dxa"/>
            <w:shd w:val="clear" w:color="auto" w:fill="auto"/>
            <w:noWrap w:val="0"/>
            <w:vAlign w:val="center"/>
          </w:tcPr>
          <w:p w14:paraId="59FE98D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pacing w:val="20"/>
                <w:kern w:val="1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20"/>
                <w:kern w:val="10"/>
                <w:sz w:val="22"/>
                <w:szCs w:val="22"/>
                <w:lang w:val="en-US" w:eastAsia="zh-CN"/>
              </w:rPr>
              <w:t>个</w:t>
            </w:r>
          </w:p>
        </w:tc>
        <w:tc>
          <w:tcPr>
            <w:tcW w:w="819" w:type="dxa"/>
            <w:shd w:val="clear" w:color="auto" w:fill="auto"/>
            <w:noWrap w:val="0"/>
            <w:vAlign w:val="center"/>
          </w:tcPr>
          <w:p w14:paraId="1014820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pacing w:val="20"/>
                <w:kern w:val="1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20"/>
                <w:kern w:val="10"/>
                <w:sz w:val="22"/>
                <w:szCs w:val="22"/>
                <w:lang w:val="en-US" w:eastAsia="zh-CN"/>
              </w:rPr>
              <w:t>5</w:t>
            </w:r>
          </w:p>
        </w:tc>
        <w:tc>
          <w:tcPr>
            <w:tcW w:w="1225" w:type="dxa"/>
            <w:vMerge w:val="continue"/>
            <w:tcBorders/>
            <w:noWrap w:val="0"/>
            <w:vAlign w:val="center"/>
          </w:tcPr>
          <w:p w14:paraId="6CAA2D63">
            <w:pPr>
              <w:widowControl/>
              <w:jc w:val="center"/>
              <w:textAlignment w:val="top"/>
              <w:rPr>
                <w:rFonts w:hint="eastAsia" w:ascii="华文楷体" w:hAnsi="华文楷体" w:eastAsia="华文楷体" w:cs="华文楷体"/>
                <w:sz w:val="22"/>
              </w:rPr>
            </w:pPr>
          </w:p>
        </w:tc>
      </w:tr>
      <w:tr w14:paraId="530DDA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516" w:type="dxa"/>
            <w:shd w:val="clear"/>
            <w:noWrap w:val="0"/>
            <w:vAlign w:val="center"/>
          </w:tcPr>
          <w:p w14:paraId="2AB9DF8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pacing w:val="20"/>
                <w:kern w:val="1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pacing w:val="20"/>
                <w:kern w:val="10"/>
                <w:sz w:val="21"/>
                <w:szCs w:val="21"/>
                <w:lang w:val="en-US" w:eastAsia="zh-CN"/>
              </w:rPr>
              <w:t>47</w:t>
            </w:r>
          </w:p>
        </w:tc>
        <w:tc>
          <w:tcPr>
            <w:tcW w:w="2139" w:type="dxa"/>
            <w:shd w:val="clear" w:color="auto" w:fill="auto"/>
            <w:noWrap w:val="0"/>
            <w:vAlign w:val="center"/>
          </w:tcPr>
          <w:p w14:paraId="3FC1E51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华文楷体" w:hAnsi="华文楷体" w:eastAsia="华文楷体" w:cs="华文楷体"/>
                <w:color w:val="auto"/>
                <w:spacing w:val="20"/>
                <w:kern w:val="1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华文楷体" w:hAnsi="华文楷体" w:eastAsia="华文楷体" w:cs="华文楷体"/>
                <w:color w:val="auto"/>
                <w:spacing w:val="20"/>
                <w:kern w:val="10"/>
                <w:sz w:val="22"/>
                <w:szCs w:val="22"/>
                <w:lang w:val="en-US" w:eastAsia="zh-CN"/>
              </w:rPr>
              <w:t>一次性塑料</w:t>
            </w:r>
            <w:r>
              <w:rPr>
                <w:rFonts w:hint="eastAsia" w:ascii="华文楷体" w:hAnsi="华文楷体" w:eastAsia="华文楷体" w:cs="华文楷体"/>
                <w:color w:val="auto"/>
                <w:spacing w:val="20"/>
                <w:kern w:val="10"/>
                <w:sz w:val="22"/>
                <w:szCs w:val="22"/>
              </w:rPr>
              <w:t>培养皿</w:t>
            </w:r>
          </w:p>
        </w:tc>
        <w:tc>
          <w:tcPr>
            <w:tcW w:w="2530" w:type="dxa"/>
            <w:shd w:val="clear" w:color="auto" w:fill="auto"/>
            <w:noWrap w:val="0"/>
            <w:vAlign w:val="center"/>
          </w:tcPr>
          <w:p w14:paraId="2428EDE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pacing w:val="20"/>
                <w:kern w:val="10"/>
                <w:sz w:val="22"/>
                <w:szCs w:val="22"/>
                <w:lang w:val="en-US" w:eastAsia="zh-CN"/>
              </w:rPr>
              <w:t>无菌、</w:t>
            </w:r>
            <w:r>
              <w:rPr>
                <w:rFonts w:hint="eastAsia" w:ascii="仿宋" w:hAnsi="仿宋" w:eastAsia="仿宋" w:cs="仿宋"/>
                <w:color w:val="auto"/>
                <w:spacing w:val="20"/>
                <w:kern w:val="10"/>
                <w:sz w:val="22"/>
                <w:szCs w:val="22"/>
              </w:rPr>
              <w:t>90*15mm</w:t>
            </w:r>
            <w:r>
              <w:rPr>
                <w:rFonts w:hint="eastAsia" w:ascii="仿宋" w:hAnsi="仿宋" w:eastAsia="仿宋" w:cs="仿宋"/>
                <w:color w:val="auto"/>
                <w:spacing w:val="20"/>
                <w:kern w:val="10"/>
                <w:sz w:val="22"/>
                <w:szCs w:val="22"/>
                <w:lang w:eastAsia="zh-CN"/>
              </w:rPr>
              <w:t>，10个/袋，50袋/箱</w:t>
            </w:r>
          </w:p>
        </w:tc>
        <w:tc>
          <w:tcPr>
            <w:tcW w:w="858" w:type="dxa"/>
            <w:shd w:val="clear" w:color="auto" w:fill="auto"/>
            <w:noWrap w:val="0"/>
            <w:vAlign w:val="center"/>
          </w:tcPr>
          <w:p w14:paraId="6C7F500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pacing w:val="20"/>
                <w:kern w:val="1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20"/>
                <w:kern w:val="10"/>
                <w:sz w:val="22"/>
                <w:szCs w:val="22"/>
              </w:rPr>
              <w:t>箱</w:t>
            </w:r>
          </w:p>
        </w:tc>
        <w:tc>
          <w:tcPr>
            <w:tcW w:w="819" w:type="dxa"/>
            <w:shd w:val="clear" w:color="auto" w:fill="auto"/>
            <w:noWrap w:val="0"/>
            <w:vAlign w:val="center"/>
          </w:tcPr>
          <w:p w14:paraId="74F8A68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pacing w:val="20"/>
                <w:kern w:val="1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20"/>
                <w:kern w:val="10"/>
                <w:sz w:val="22"/>
                <w:szCs w:val="22"/>
              </w:rPr>
              <w:t>4</w:t>
            </w:r>
          </w:p>
        </w:tc>
        <w:tc>
          <w:tcPr>
            <w:tcW w:w="1225" w:type="dxa"/>
            <w:vMerge w:val="continue"/>
            <w:tcBorders/>
            <w:noWrap w:val="0"/>
            <w:vAlign w:val="center"/>
          </w:tcPr>
          <w:p w14:paraId="1984F1AE">
            <w:pPr>
              <w:widowControl/>
              <w:jc w:val="center"/>
              <w:textAlignment w:val="top"/>
              <w:rPr>
                <w:rFonts w:hint="eastAsia" w:ascii="华文楷体" w:hAnsi="华文楷体" w:eastAsia="华文楷体" w:cs="华文楷体"/>
                <w:sz w:val="22"/>
              </w:rPr>
            </w:pPr>
          </w:p>
        </w:tc>
      </w:tr>
      <w:tr w14:paraId="2F5625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516" w:type="dxa"/>
            <w:shd w:val="clear"/>
            <w:noWrap w:val="0"/>
            <w:vAlign w:val="center"/>
          </w:tcPr>
          <w:p w14:paraId="0FC1F6C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pacing w:val="20"/>
                <w:kern w:val="1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pacing w:val="20"/>
                <w:kern w:val="10"/>
                <w:sz w:val="21"/>
                <w:szCs w:val="21"/>
                <w:lang w:val="en-US" w:eastAsia="zh-CN"/>
              </w:rPr>
              <w:t>48</w:t>
            </w:r>
          </w:p>
        </w:tc>
        <w:tc>
          <w:tcPr>
            <w:tcW w:w="2139" w:type="dxa"/>
            <w:shd w:val="clear" w:color="auto" w:fill="auto"/>
            <w:noWrap w:val="0"/>
            <w:vAlign w:val="center"/>
          </w:tcPr>
          <w:p w14:paraId="753BE14E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华文楷体" w:hAnsi="华文楷体" w:eastAsia="华文楷体" w:cs="华文楷体"/>
                <w:color w:val="auto"/>
                <w:spacing w:val="20"/>
                <w:kern w:val="1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华文楷体" w:hAnsi="华文楷体" w:eastAsia="华文楷体" w:cs="华文楷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一次性无菌进样器</w:t>
            </w:r>
          </w:p>
        </w:tc>
        <w:tc>
          <w:tcPr>
            <w:tcW w:w="2530" w:type="dxa"/>
            <w:shd w:val="clear" w:color="auto" w:fill="auto"/>
            <w:noWrap w:val="0"/>
            <w:vAlign w:val="center"/>
          </w:tcPr>
          <w:p w14:paraId="38F31E8B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color w:val="auto"/>
                <w:spacing w:val="20"/>
                <w:kern w:val="1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1ml，单独包装，无菌，最小刻度0.02mL</w:t>
            </w:r>
          </w:p>
        </w:tc>
        <w:tc>
          <w:tcPr>
            <w:tcW w:w="858" w:type="dxa"/>
            <w:shd w:val="clear" w:color="auto" w:fill="auto"/>
            <w:noWrap w:val="0"/>
            <w:vAlign w:val="center"/>
          </w:tcPr>
          <w:p w14:paraId="03BB9A9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pacing w:val="20"/>
                <w:kern w:val="1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20"/>
                <w:kern w:val="10"/>
                <w:sz w:val="22"/>
                <w:szCs w:val="22"/>
              </w:rPr>
              <w:t>支</w:t>
            </w:r>
          </w:p>
        </w:tc>
        <w:tc>
          <w:tcPr>
            <w:tcW w:w="819" w:type="dxa"/>
            <w:shd w:val="clear" w:color="auto" w:fill="auto"/>
            <w:noWrap w:val="0"/>
            <w:vAlign w:val="center"/>
          </w:tcPr>
          <w:p w14:paraId="11E4D4F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pacing w:val="20"/>
                <w:kern w:val="1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20"/>
                <w:kern w:val="10"/>
                <w:sz w:val="22"/>
                <w:szCs w:val="22"/>
              </w:rPr>
              <w:t>500</w:t>
            </w:r>
          </w:p>
        </w:tc>
        <w:tc>
          <w:tcPr>
            <w:tcW w:w="1225" w:type="dxa"/>
            <w:vMerge w:val="continue"/>
            <w:tcBorders/>
            <w:noWrap w:val="0"/>
            <w:vAlign w:val="center"/>
          </w:tcPr>
          <w:p w14:paraId="5435225C">
            <w:pPr>
              <w:widowControl/>
              <w:jc w:val="center"/>
              <w:textAlignment w:val="top"/>
              <w:rPr>
                <w:rFonts w:hint="eastAsia" w:ascii="华文楷体" w:hAnsi="华文楷体" w:eastAsia="华文楷体" w:cs="华文楷体"/>
                <w:sz w:val="22"/>
              </w:rPr>
            </w:pPr>
          </w:p>
        </w:tc>
      </w:tr>
      <w:tr w14:paraId="41853F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516" w:type="dxa"/>
            <w:shd w:val="clear"/>
            <w:noWrap w:val="0"/>
            <w:vAlign w:val="center"/>
          </w:tcPr>
          <w:p w14:paraId="3097E74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pacing w:val="20"/>
                <w:kern w:val="1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pacing w:val="20"/>
                <w:kern w:val="10"/>
                <w:sz w:val="21"/>
                <w:szCs w:val="21"/>
                <w:lang w:val="en-US" w:eastAsia="zh-CN"/>
              </w:rPr>
              <w:t>49</w:t>
            </w:r>
          </w:p>
        </w:tc>
        <w:tc>
          <w:tcPr>
            <w:tcW w:w="2139" w:type="dxa"/>
            <w:shd w:val="clear" w:color="auto" w:fill="auto"/>
            <w:noWrap w:val="0"/>
            <w:vAlign w:val="center"/>
          </w:tcPr>
          <w:p w14:paraId="6E35F2B0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华文楷体" w:hAnsi="华文楷体" w:eastAsia="华文楷体" w:cs="华文楷体"/>
                <w:color w:val="auto"/>
                <w:spacing w:val="20"/>
                <w:kern w:val="1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华文楷体" w:hAnsi="华文楷体" w:eastAsia="华文楷体" w:cs="华文楷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一次性无菌进样器</w:t>
            </w:r>
          </w:p>
        </w:tc>
        <w:tc>
          <w:tcPr>
            <w:tcW w:w="2530" w:type="dxa"/>
            <w:shd w:val="clear" w:color="auto" w:fill="auto"/>
            <w:noWrap w:val="0"/>
            <w:vAlign w:val="center"/>
          </w:tcPr>
          <w:p w14:paraId="3CA32215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color w:val="auto"/>
                <w:spacing w:val="20"/>
                <w:kern w:val="1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5ml，单独包装，无菌，最小刻度0.2mL</w:t>
            </w:r>
          </w:p>
        </w:tc>
        <w:tc>
          <w:tcPr>
            <w:tcW w:w="858" w:type="dxa"/>
            <w:shd w:val="clear" w:color="auto" w:fill="auto"/>
            <w:noWrap w:val="0"/>
            <w:vAlign w:val="center"/>
          </w:tcPr>
          <w:p w14:paraId="260B511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pacing w:val="20"/>
                <w:kern w:val="1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20"/>
                <w:kern w:val="10"/>
                <w:sz w:val="22"/>
                <w:szCs w:val="22"/>
              </w:rPr>
              <w:t>支</w:t>
            </w:r>
          </w:p>
        </w:tc>
        <w:tc>
          <w:tcPr>
            <w:tcW w:w="819" w:type="dxa"/>
            <w:shd w:val="clear" w:color="auto" w:fill="auto"/>
            <w:noWrap w:val="0"/>
            <w:vAlign w:val="center"/>
          </w:tcPr>
          <w:p w14:paraId="69CB580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pacing w:val="20"/>
                <w:kern w:val="1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20"/>
                <w:kern w:val="10"/>
                <w:sz w:val="22"/>
                <w:szCs w:val="22"/>
              </w:rPr>
              <w:t>200</w:t>
            </w:r>
          </w:p>
        </w:tc>
        <w:tc>
          <w:tcPr>
            <w:tcW w:w="1225" w:type="dxa"/>
            <w:vMerge w:val="continue"/>
            <w:tcBorders/>
            <w:noWrap w:val="0"/>
            <w:vAlign w:val="center"/>
          </w:tcPr>
          <w:p w14:paraId="21A0325F">
            <w:pPr>
              <w:widowControl/>
              <w:jc w:val="center"/>
              <w:textAlignment w:val="top"/>
              <w:rPr>
                <w:rFonts w:hint="eastAsia" w:ascii="华文楷体" w:hAnsi="华文楷体" w:eastAsia="华文楷体" w:cs="华文楷体"/>
                <w:sz w:val="22"/>
              </w:rPr>
            </w:pPr>
          </w:p>
        </w:tc>
      </w:tr>
      <w:tr w14:paraId="3C83D0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516" w:type="dxa"/>
            <w:shd w:val="clear"/>
            <w:noWrap w:val="0"/>
            <w:vAlign w:val="center"/>
          </w:tcPr>
          <w:p w14:paraId="6BF8976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pacing w:val="20"/>
                <w:kern w:val="1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pacing w:val="20"/>
                <w:kern w:val="10"/>
                <w:sz w:val="21"/>
                <w:szCs w:val="21"/>
                <w:lang w:val="en-US" w:eastAsia="zh-CN"/>
              </w:rPr>
              <w:t>50</w:t>
            </w:r>
          </w:p>
        </w:tc>
        <w:tc>
          <w:tcPr>
            <w:tcW w:w="2139" w:type="dxa"/>
            <w:shd w:val="clear" w:color="auto" w:fill="auto"/>
            <w:noWrap w:val="0"/>
            <w:vAlign w:val="center"/>
          </w:tcPr>
          <w:p w14:paraId="2BDED32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华文楷体" w:hAnsi="华文楷体" w:eastAsia="华文楷体" w:cs="华文楷体"/>
                <w:color w:val="auto"/>
                <w:spacing w:val="20"/>
                <w:kern w:val="1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华文楷体" w:hAnsi="华文楷体" w:eastAsia="华文楷体" w:cs="华文楷体"/>
                <w:color w:val="auto"/>
                <w:spacing w:val="20"/>
                <w:kern w:val="10"/>
                <w:sz w:val="22"/>
                <w:szCs w:val="22"/>
                <w:highlight w:val="none"/>
                <w:lang w:val="en-US" w:eastAsia="zh-CN"/>
              </w:rPr>
              <w:t>一次性微量吸管</w:t>
            </w:r>
          </w:p>
        </w:tc>
        <w:tc>
          <w:tcPr>
            <w:tcW w:w="2530" w:type="dxa"/>
            <w:shd w:val="clear" w:color="auto" w:fill="auto"/>
            <w:noWrap w:val="0"/>
            <w:vAlign w:val="center"/>
          </w:tcPr>
          <w:p w14:paraId="69D80FC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2"/>
                <w:szCs w:val="22"/>
                <w:lang w:val="en-US" w:eastAsia="zh-CN" w:bidi="ar-SA"/>
              </w:rPr>
              <w:t>40uL，无菌，400支/筒，不含抗凝剂</w:t>
            </w:r>
          </w:p>
        </w:tc>
        <w:tc>
          <w:tcPr>
            <w:tcW w:w="858" w:type="dxa"/>
            <w:shd w:val="clear" w:color="auto" w:fill="auto"/>
            <w:noWrap w:val="0"/>
            <w:vAlign w:val="center"/>
          </w:tcPr>
          <w:p w14:paraId="0DFF615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pacing w:val="20"/>
                <w:kern w:val="1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20"/>
                <w:kern w:val="10"/>
                <w:sz w:val="22"/>
                <w:szCs w:val="22"/>
                <w:lang w:val="en-US" w:eastAsia="zh-CN"/>
              </w:rPr>
              <w:t>筒</w:t>
            </w:r>
          </w:p>
        </w:tc>
        <w:tc>
          <w:tcPr>
            <w:tcW w:w="819" w:type="dxa"/>
            <w:shd w:val="clear" w:color="auto" w:fill="auto"/>
            <w:noWrap w:val="0"/>
            <w:vAlign w:val="center"/>
          </w:tcPr>
          <w:p w14:paraId="1D3CDA7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pacing w:val="20"/>
                <w:kern w:val="1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20"/>
                <w:kern w:val="10"/>
                <w:sz w:val="22"/>
                <w:szCs w:val="22"/>
                <w:lang w:val="en-US" w:eastAsia="zh-CN"/>
              </w:rPr>
              <w:t>3</w:t>
            </w:r>
          </w:p>
        </w:tc>
        <w:tc>
          <w:tcPr>
            <w:tcW w:w="1225" w:type="dxa"/>
            <w:vMerge w:val="continue"/>
            <w:tcBorders/>
            <w:noWrap w:val="0"/>
            <w:vAlign w:val="center"/>
          </w:tcPr>
          <w:p w14:paraId="6065022C">
            <w:pPr>
              <w:widowControl/>
              <w:jc w:val="center"/>
              <w:textAlignment w:val="top"/>
              <w:rPr>
                <w:rFonts w:hint="eastAsia" w:ascii="华文楷体" w:hAnsi="华文楷体" w:eastAsia="华文楷体" w:cs="华文楷体"/>
                <w:sz w:val="22"/>
              </w:rPr>
            </w:pPr>
          </w:p>
        </w:tc>
      </w:tr>
      <w:tr w14:paraId="5C10FD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516" w:type="dxa"/>
            <w:shd w:val="clear"/>
            <w:noWrap w:val="0"/>
            <w:vAlign w:val="center"/>
          </w:tcPr>
          <w:p w14:paraId="470C0B2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pacing w:val="20"/>
                <w:kern w:val="1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pacing w:val="20"/>
                <w:kern w:val="10"/>
                <w:sz w:val="21"/>
                <w:szCs w:val="21"/>
                <w:lang w:val="en-US" w:eastAsia="zh-CN"/>
              </w:rPr>
              <w:t>51</w:t>
            </w:r>
          </w:p>
        </w:tc>
        <w:tc>
          <w:tcPr>
            <w:tcW w:w="2139" w:type="dxa"/>
            <w:shd w:val="clear" w:color="auto" w:fill="auto"/>
            <w:noWrap w:val="0"/>
            <w:vAlign w:val="center"/>
          </w:tcPr>
          <w:p w14:paraId="6799E2A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华文楷体" w:hAnsi="华文楷体" w:eastAsia="华文楷体" w:cs="华文楷体"/>
                <w:color w:val="auto"/>
                <w:spacing w:val="20"/>
                <w:kern w:val="1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华文楷体" w:hAnsi="华文楷体" w:eastAsia="华文楷体" w:cs="华文楷体"/>
                <w:color w:val="auto"/>
                <w:spacing w:val="20"/>
                <w:kern w:val="10"/>
                <w:sz w:val="22"/>
                <w:szCs w:val="22"/>
                <w:lang w:val="en-US" w:eastAsia="zh-CN" w:bidi="ar-SA"/>
              </w:rPr>
              <w:t>一次性塑料吸管</w:t>
            </w:r>
          </w:p>
        </w:tc>
        <w:tc>
          <w:tcPr>
            <w:tcW w:w="2530" w:type="dxa"/>
            <w:shd w:val="clear" w:color="auto" w:fill="auto"/>
            <w:noWrap w:val="0"/>
            <w:vAlign w:val="center"/>
          </w:tcPr>
          <w:p w14:paraId="4B6C784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pacing w:val="20"/>
                <w:kern w:val="1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2"/>
                <w:szCs w:val="22"/>
              </w:rPr>
              <w:t>1mL/支，100支/包，</w:t>
            </w:r>
          </w:p>
        </w:tc>
        <w:tc>
          <w:tcPr>
            <w:tcW w:w="858" w:type="dxa"/>
            <w:shd w:val="clear" w:color="auto" w:fill="auto"/>
            <w:noWrap w:val="0"/>
            <w:vAlign w:val="center"/>
          </w:tcPr>
          <w:p w14:paraId="64BD7D8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pacing w:val="20"/>
                <w:kern w:val="1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20"/>
                <w:kern w:val="10"/>
                <w:sz w:val="22"/>
                <w:szCs w:val="22"/>
                <w:lang w:val="en-US" w:eastAsia="zh-CN" w:bidi="ar-SA"/>
              </w:rPr>
              <w:t>包</w:t>
            </w:r>
          </w:p>
        </w:tc>
        <w:tc>
          <w:tcPr>
            <w:tcW w:w="819" w:type="dxa"/>
            <w:shd w:val="clear" w:color="auto" w:fill="auto"/>
            <w:noWrap w:val="0"/>
            <w:vAlign w:val="center"/>
          </w:tcPr>
          <w:p w14:paraId="02B9296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pacing w:val="20"/>
                <w:kern w:val="1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20"/>
                <w:kern w:val="10"/>
                <w:sz w:val="22"/>
                <w:szCs w:val="22"/>
                <w:lang w:val="en-US" w:eastAsia="zh-CN" w:bidi="ar-SA"/>
              </w:rPr>
              <w:t>3</w:t>
            </w:r>
          </w:p>
        </w:tc>
        <w:tc>
          <w:tcPr>
            <w:tcW w:w="1225" w:type="dxa"/>
            <w:vMerge w:val="continue"/>
            <w:tcBorders/>
            <w:noWrap w:val="0"/>
            <w:vAlign w:val="center"/>
          </w:tcPr>
          <w:p w14:paraId="634D3AC2">
            <w:pPr>
              <w:widowControl/>
              <w:jc w:val="center"/>
              <w:textAlignment w:val="top"/>
              <w:rPr>
                <w:rFonts w:hint="eastAsia" w:ascii="华文楷体" w:hAnsi="华文楷体" w:eastAsia="华文楷体" w:cs="华文楷体"/>
                <w:sz w:val="22"/>
              </w:rPr>
            </w:pPr>
          </w:p>
        </w:tc>
      </w:tr>
      <w:tr w14:paraId="0AEF62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516" w:type="dxa"/>
            <w:shd w:val="clear"/>
            <w:noWrap w:val="0"/>
            <w:vAlign w:val="center"/>
          </w:tcPr>
          <w:p w14:paraId="3EB415F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pacing w:val="20"/>
                <w:kern w:val="1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pacing w:val="20"/>
                <w:kern w:val="10"/>
                <w:sz w:val="21"/>
                <w:szCs w:val="21"/>
                <w:lang w:val="en-US" w:eastAsia="zh-CN"/>
              </w:rPr>
              <w:t>52</w:t>
            </w:r>
          </w:p>
        </w:tc>
        <w:tc>
          <w:tcPr>
            <w:tcW w:w="2139" w:type="dxa"/>
            <w:shd w:val="clear" w:color="auto" w:fill="auto"/>
            <w:noWrap w:val="0"/>
            <w:vAlign w:val="center"/>
          </w:tcPr>
          <w:p w14:paraId="79013B2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华文楷体" w:hAnsi="华文楷体" w:eastAsia="华文楷体" w:cs="华文楷体"/>
                <w:color w:val="auto"/>
                <w:spacing w:val="20"/>
                <w:kern w:val="1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华文楷体" w:hAnsi="华文楷体" w:eastAsia="华文楷体" w:cs="华文楷体"/>
                <w:color w:val="auto"/>
                <w:spacing w:val="20"/>
                <w:kern w:val="10"/>
                <w:sz w:val="22"/>
                <w:szCs w:val="22"/>
                <w:lang w:val="en-US" w:eastAsia="zh-CN"/>
              </w:rPr>
              <w:t>15mL一次性塑料尖底离心管</w:t>
            </w:r>
          </w:p>
        </w:tc>
        <w:tc>
          <w:tcPr>
            <w:tcW w:w="2530" w:type="dxa"/>
            <w:shd w:val="clear" w:color="auto" w:fill="auto"/>
            <w:noWrap w:val="0"/>
            <w:vAlign w:val="center"/>
          </w:tcPr>
          <w:p w14:paraId="77843BB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pacing w:val="20"/>
                <w:kern w:val="1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pacing w:val="20"/>
                <w:kern w:val="10"/>
                <w:sz w:val="22"/>
                <w:szCs w:val="22"/>
                <w:lang w:val="en-US" w:eastAsia="zh-CN"/>
              </w:rPr>
              <w:t>无菌，无热源，无RNA酶、无DNA酶</w:t>
            </w:r>
          </w:p>
        </w:tc>
        <w:tc>
          <w:tcPr>
            <w:tcW w:w="858" w:type="dxa"/>
            <w:shd w:val="clear" w:color="auto" w:fill="auto"/>
            <w:noWrap w:val="0"/>
            <w:vAlign w:val="center"/>
          </w:tcPr>
          <w:p w14:paraId="077B809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pacing w:val="20"/>
                <w:kern w:val="1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20"/>
                <w:kern w:val="10"/>
                <w:sz w:val="22"/>
                <w:szCs w:val="22"/>
                <w:lang w:val="en-US" w:eastAsia="zh-CN" w:bidi="ar-SA"/>
              </w:rPr>
              <w:t>个</w:t>
            </w:r>
          </w:p>
        </w:tc>
        <w:tc>
          <w:tcPr>
            <w:tcW w:w="819" w:type="dxa"/>
            <w:shd w:val="clear" w:color="auto" w:fill="auto"/>
            <w:noWrap w:val="0"/>
            <w:vAlign w:val="center"/>
          </w:tcPr>
          <w:p w14:paraId="392FA80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pacing w:val="20"/>
                <w:kern w:val="1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20"/>
                <w:kern w:val="10"/>
                <w:sz w:val="22"/>
                <w:szCs w:val="22"/>
                <w:lang w:val="en-US" w:eastAsia="zh-CN" w:bidi="ar-SA"/>
              </w:rPr>
              <w:t>200</w:t>
            </w:r>
          </w:p>
        </w:tc>
        <w:tc>
          <w:tcPr>
            <w:tcW w:w="1225" w:type="dxa"/>
            <w:vMerge w:val="continue"/>
            <w:tcBorders/>
            <w:noWrap w:val="0"/>
            <w:vAlign w:val="center"/>
          </w:tcPr>
          <w:p w14:paraId="3AC8D442">
            <w:pPr>
              <w:widowControl/>
              <w:jc w:val="center"/>
              <w:textAlignment w:val="top"/>
              <w:rPr>
                <w:rFonts w:hint="eastAsia" w:ascii="华文楷体" w:hAnsi="华文楷体" w:eastAsia="华文楷体" w:cs="华文楷体"/>
                <w:sz w:val="22"/>
              </w:rPr>
            </w:pPr>
          </w:p>
        </w:tc>
      </w:tr>
      <w:tr w14:paraId="74F4EB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516" w:type="dxa"/>
            <w:shd w:val="clear"/>
            <w:noWrap w:val="0"/>
            <w:vAlign w:val="center"/>
          </w:tcPr>
          <w:p w14:paraId="783F4AD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pacing w:val="20"/>
                <w:kern w:val="1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pacing w:val="20"/>
                <w:kern w:val="10"/>
                <w:sz w:val="21"/>
                <w:szCs w:val="21"/>
                <w:lang w:val="en-US" w:eastAsia="zh-CN"/>
              </w:rPr>
              <w:t>53</w:t>
            </w:r>
          </w:p>
        </w:tc>
        <w:tc>
          <w:tcPr>
            <w:tcW w:w="2139" w:type="dxa"/>
            <w:shd w:val="clear" w:color="auto" w:fill="auto"/>
            <w:noWrap w:val="0"/>
            <w:vAlign w:val="center"/>
          </w:tcPr>
          <w:p w14:paraId="75C095E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华文楷体" w:hAnsi="华文楷体" w:eastAsia="华文楷体" w:cs="华文楷体"/>
                <w:color w:val="auto"/>
                <w:spacing w:val="20"/>
                <w:kern w:val="1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华文楷体" w:hAnsi="华文楷体" w:eastAsia="华文楷体" w:cs="华文楷体"/>
                <w:color w:val="auto"/>
                <w:spacing w:val="20"/>
                <w:kern w:val="10"/>
                <w:sz w:val="22"/>
                <w:szCs w:val="22"/>
                <w:highlight w:val="none"/>
                <w:lang w:val="en-US" w:eastAsia="zh-CN"/>
              </w:rPr>
              <w:t>5mL普通生化管</w:t>
            </w:r>
          </w:p>
        </w:tc>
        <w:tc>
          <w:tcPr>
            <w:tcW w:w="2530" w:type="dxa"/>
            <w:shd w:val="clear" w:color="auto" w:fill="auto"/>
            <w:noWrap w:val="0"/>
            <w:vAlign w:val="center"/>
          </w:tcPr>
          <w:p w14:paraId="007D9EC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pacing w:val="20"/>
                <w:kern w:val="1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pacing w:val="20"/>
                <w:kern w:val="10"/>
                <w:sz w:val="22"/>
                <w:szCs w:val="22"/>
                <w:lang w:val="en-US" w:eastAsia="zh-CN"/>
              </w:rPr>
              <w:t>100支/组，无添加剂普通管</w:t>
            </w:r>
          </w:p>
        </w:tc>
        <w:tc>
          <w:tcPr>
            <w:tcW w:w="858" w:type="dxa"/>
            <w:shd w:val="clear" w:color="auto" w:fill="auto"/>
            <w:noWrap w:val="0"/>
            <w:vAlign w:val="center"/>
          </w:tcPr>
          <w:p w14:paraId="6F39F19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pacing w:val="20"/>
                <w:kern w:val="1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20"/>
                <w:kern w:val="10"/>
                <w:sz w:val="22"/>
                <w:szCs w:val="22"/>
                <w:lang w:val="en-US" w:eastAsia="zh-CN"/>
              </w:rPr>
              <w:t>组</w:t>
            </w:r>
          </w:p>
        </w:tc>
        <w:tc>
          <w:tcPr>
            <w:tcW w:w="819" w:type="dxa"/>
            <w:shd w:val="clear" w:color="auto" w:fill="auto"/>
            <w:noWrap w:val="0"/>
            <w:vAlign w:val="center"/>
          </w:tcPr>
          <w:p w14:paraId="1E6EB98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pacing w:val="20"/>
                <w:kern w:val="1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20"/>
                <w:kern w:val="10"/>
                <w:sz w:val="22"/>
                <w:szCs w:val="22"/>
                <w:lang w:val="en-US" w:eastAsia="zh-CN"/>
              </w:rPr>
              <w:t>3</w:t>
            </w:r>
          </w:p>
        </w:tc>
        <w:tc>
          <w:tcPr>
            <w:tcW w:w="1225" w:type="dxa"/>
            <w:vMerge w:val="continue"/>
            <w:tcBorders/>
            <w:noWrap w:val="0"/>
            <w:vAlign w:val="center"/>
          </w:tcPr>
          <w:p w14:paraId="7C68418D">
            <w:pPr>
              <w:widowControl/>
              <w:jc w:val="center"/>
              <w:textAlignment w:val="top"/>
              <w:rPr>
                <w:rFonts w:hint="eastAsia" w:ascii="华文楷体" w:hAnsi="华文楷体" w:eastAsia="华文楷体" w:cs="华文楷体"/>
                <w:sz w:val="22"/>
              </w:rPr>
            </w:pPr>
          </w:p>
        </w:tc>
      </w:tr>
      <w:tr w14:paraId="4D7175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516" w:type="dxa"/>
            <w:shd w:val="clear"/>
            <w:noWrap w:val="0"/>
            <w:vAlign w:val="center"/>
          </w:tcPr>
          <w:p w14:paraId="5626E12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pacing w:val="20"/>
                <w:kern w:val="1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pacing w:val="20"/>
                <w:kern w:val="10"/>
                <w:sz w:val="21"/>
                <w:szCs w:val="21"/>
                <w:lang w:val="en-US" w:eastAsia="zh-CN"/>
              </w:rPr>
              <w:t>54</w:t>
            </w:r>
          </w:p>
        </w:tc>
        <w:tc>
          <w:tcPr>
            <w:tcW w:w="2139" w:type="dxa"/>
            <w:shd w:val="clear" w:color="auto" w:fill="auto"/>
            <w:noWrap w:val="0"/>
            <w:vAlign w:val="center"/>
          </w:tcPr>
          <w:p w14:paraId="2A0D8F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楷体" w:hAnsi="华文楷体" w:eastAsia="华文楷体" w:cs="华文楷体"/>
                <w:color w:val="auto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华文楷体" w:hAnsi="华文楷体" w:eastAsia="华文楷体" w:cs="华文楷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日立7080全自动生化分析仪反应杯</w:t>
            </w:r>
          </w:p>
        </w:tc>
        <w:tc>
          <w:tcPr>
            <w:tcW w:w="2530" w:type="dxa"/>
            <w:shd w:val="clear" w:color="auto" w:fill="auto"/>
            <w:noWrap w:val="0"/>
            <w:vAlign w:val="center"/>
          </w:tcPr>
          <w:p w14:paraId="10DB02D9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color w:val="auto"/>
                <w:spacing w:val="20"/>
                <w:kern w:val="1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6组/套，适用于日立7080全自动生化分析仪。</w:t>
            </w:r>
          </w:p>
        </w:tc>
        <w:tc>
          <w:tcPr>
            <w:tcW w:w="858" w:type="dxa"/>
            <w:shd w:val="clear" w:color="auto" w:fill="auto"/>
            <w:noWrap w:val="0"/>
            <w:vAlign w:val="center"/>
          </w:tcPr>
          <w:p w14:paraId="45E55BF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2"/>
                <w:szCs w:val="22"/>
                <w:lang w:val="en-US" w:eastAsia="zh-CN" w:bidi="ar-SA"/>
              </w:rPr>
              <w:t>套</w:t>
            </w:r>
          </w:p>
        </w:tc>
        <w:tc>
          <w:tcPr>
            <w:tcW w:w="819" w:type="dxa"/>
            <w:shd w:val="clear" w:color="auto" w:fill="auto"/>
            <w:noWrap w:val="0"/>
            <w:vAlign w:val="center"/>
          </w:tcPr>
          <w:p w14:paraId="029D342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2"/>
                <w:szCs w:val="22"/>
                <w:lang w:val="en-US" w:eastAsia="zh-CN" w:bidi="ar-SA"/>
              </w:rPr>
              <w:t>1</w:t>
            </w:r>
          </w:p>
        </w:tc>
        <w:tc>
          <w:tcPr>
            <w:tcW w:w="1225" w:type="dxa"/>
            <w:vMerge w:val="continue"/>
            <w:tcBorders/>
            <w:noWrap w:val="0"/>
            <w:vAlign w:val="center"/>
          </w:tcPr>
          <w:p w14:paraId="333CB854">
            <w:pPr>
              <w:widowControl/>
              <w:jc w:val="center"/>
              <w:textAlignment w:val="top"/>
              <w:rPr>
                <w:rFonts w:hint="eastAsia" w:ascii="华文楷体" w:hAnsi="华文楷体" w:eastAsia="华文楷体" w:cs="华文楷体"/>
                <w:sz w:val="22"/>
              </w:rPr>
            </w:pPr>
          </w:p>
        </w:tc>
      </w:tr>
      <w:tr w14:paraId="1B15D8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516" w:type="dxa"/>
            <w:shd w:val="clear"/>
            <w:noWrap w:val="0"/>
            <w:vAlign w:val="center"/>
          </w:tcPr>
          <w:p w14:paraId="562FD30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pacing w:val="20"/>
                <w:kern w:val="1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pacing w:val="20"/>
                <w:kern w:val="10"/>
                <w:sz w:val="21"/>
                <w:szCs w:val="21"/>
                <w:lang w:val="en-US" w:eastAsia="zh-CN"/>
              </w:rPr>
              <w:t>55</w:t>
            </w:r>
          </w:p>
        </w:tc>
        <w:tc>
          <w:tcPr>
            <w:tcW w:w="2139" w:type="dxa"/>
            <w:shd w:val="clear" w:color="auto" w:fill="auto"/>
            <w:noWrap w:val="0"/>
            <w:vAlign w:val="center"/>
          </w:tcPr>
          <w:p w14:paraId="795D19C9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华文楷体" w:hAnsi="华文楷体" w:eastAsia="华文楷体" w:cs="华文楷体"/>
                <w:color w:val="auto"/>
                <w:spacing w:val="20"/>
                <w:kern w:val="1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华文楷体" w:hAnsi="华文楷体" w:eastAsia="华文楷体" w:cs="华文楷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日立7080全自动生化分析仪样品杯</w:t>
            </w:r>
          </w:p>
        </w:tc>
        <w:tc>
          <w:tcPr>
            <w:tcW w:w="2530" w:type="dxa"/>
            <w:shd w:val="clear" w:color="auto" w:fill="auto"/>
            <w:noWrap w:val="0"/>
            <w:vAlign w:val="center"/>
          </w:tcPr>
          <w:p w14:paraId="200CB10C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color w:val="auto"/>
                <w:spacing w:val="20"/>
                <w:kern w:val="1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500只/袋，适用于日立7080全自动生化分析仪。</w:t>
            </w:r>
          </w:p>
        </w:tc>
        <w:tc>
          <w:tcPr>
            <w:tcW w:w="858" w:type="dxa"/>
            <w:shd w:val="clear" w:color="auto" w:fill="auto"/>
            <w:noWrap w:val="0"/>
            <w:vAlign w:val="center"/>
          </w:tcPr>
          <w:p w14:paraId="0C353A3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pacing w:val="20"/>
                <w:kern w:val="1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20"/>
                <w:kern w:val="10"/>
                <w:sz w:val="22"/>
                <w:szCs w:val="22"/>
                <w:lang w:val="en-US" w:eastAsia="zh-CN" w:bidi="ar-SA"/>
              </w:rPr>
              <w:t>袋</w:t>
            </w:r>
          </w:p>
        </w:tc>
        <w:tc>
          <w:tcPr>
            <w:tcW w:w="819" w:type="dxa"/>
            <w:shd w:val="clear" w:color="auto" w:fill="auto"/>
            <w:noWrap w:val="0"/>
            <w:vAlign w:val="center"/>
          </w:tcPr>
          <w:p w14:paraId="6D6AC63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pacing w:val="20"/>
                <w:kern w:val="1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20"/>
                <w:kern w:val="10"/>
                <w:sz w:val="22"/>
                <w:szCs w:val="22"/>
                <w:lang w:val="en-US" w:eastAsia="zh-CN" w:bidi="ar-SA"/>
              </w:rPr>
              <w:t>1</w:t>
            </w:r>
          </w:p>
        </w:tc>
        <w:tc>
          <w:tcPr>
            <w:tcW w:w="1225" w:type="dxa"/>
            <w:vMerge w:val="continue"/>
            <w:tcBorders/>
            <w:noWrap w:val="0"/>
            <w:vAlign w:val="center"/>
          </w:tcPr>
          <w:p w14:paraId="160FC807">
            <w:pPr>
              <w:widowControl/>
              <w:jc w:val="center"/>
              <w:textAlignment w:val="top"/>
              <w:rPr>
                <w:rFonts w:hint="eastAsia" w:ascii="华文楷体" w:hAnsi="华文楷体" w:eastAsia="华文楷体" w:cs="华文楷体"/>
                <w:sz w:val="22"/>
              </w:rPr>
            </w:pPr>
          </w:p>
        </w:tc>
      </w:tr>
      <w:tr w14:paraId="3E0BD5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516" w:type="dxa"/>
            <w:shd w:val="clear"/>
            <w:noWrap w:val="0"/>
            <w:vAlign w:val="center"/>
          </w:tcPr>
          <w:p w14:paraId="60C2928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pacing w:val="20"/>
                <w:kern w:val="1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pacing w:val="20"/>
                <w:kern w:val="10"/>
                <w:sz w:val="21"/>
                <w:szCs w:val="21"/>
                <w:lang w:val="en-US" w:eastAsia="zh-CN"/>
              </w:rPr>
              <w:t>56</w:t>
            </w:r>
          </w:p>
        </w:tc>
        <w:tc>
          <w:tcPr>
            <w:tcW w:w="2139" w:type="dxa"/>
            <w:shd w:val="clear" w:color="auto" w:fill="auto"/>
            <w:noWrap w:val="0"/>
            <w:vAlign w:val="center"/>
          </w:tcPr>
          <w:p w14:paraId="75E03C4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华文楷体" w:hAnsi="华文楷体" w:eastAsia="华文楷体" w:cs="华文楷体"/>
                <w:color w:val="auto"/>
                <w:spacing w:val="20"/>
                <w:kern w:val="1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华文楷体" w:hAnsi="华文楷体" w:eastAsia="华文楷体" w:cs="华文楷体"/>
                <w:color w:val="auto"/>
                <w:spacing w:val="20"/>
                <w:kern w:val="10"/>
                <w:sz w:val="22"/>
                <w:szCs w:val="22"/>
                <w:lang w:val="en-US" w:eastAsia="zh-CN"/>
              </w:rPr>
              <w:t>滤纸</w:t>
            </w:r>
          </w:p>
        </w:tc>
        <w:tc>
          <w:tcPr>
            <w:tcW w:w="2530" w:type="dxa"/>
            <w:shd w:val="clear" w:color="auto" w:fill="auto"/>
            <w:noWrap w:val="0"/>
            <w:vAlign w:val="center"/>
          </w:tcPr>
          <w:p w14:paraId="2D493B2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pacing w:val="20"/>
                <w:kern w:val="1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pacing w:val="20"/>
                <w:kern w:val="10"/>
                <w:sz w:val="22"/>
                <w:szCs w:val="22"/>
                <w:lang w:val="en-US" w:eastAsia="zh-CN"/>
              </w:rPr>
              <w:t>100张/盒，15cm，中速，定性滤纸</w:t>
            </w:r>
          </w:p>
        </w:tc>
        <w:tc>
          <w:tcPr>
            <w:tcW w:w="858" w:type="dxa"/>
            <w:shd w:val="clear" w:color="auto" w:fill="auto"/>
            <w:noWrap w:val="0"/>
            <w:vAlign w:val="center"/>
          </w:tcPr>
          <w:p w14:paraId="57FA83D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pacing w:val="20"/>
                <w:kern w:val="1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20"/>
                <w:kern w:val="10"/>
                <w:sz w:val="22"/>
                <w:szCs w:val="22"/>
                <w:lang w:val="en-US" w:eastAsia="zh-CN"/>
              </w:rPr>
              <w:t>盒</w:t>
            </w:r>
          </w:p>
        </w:tc>
        <w:tc>
          <w:tcPr>
            <w:tcW w:w="819" w:type="dxa"/>
            <w:shd w:val="clear" w:color="auto" w:fill="auto"/>
            <w:noWrap w:val="0"/>
            <w:vAlign w:val="center"/>
          </w:tcPr>
          <w:p w14:paraId="0DE326C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pacing w:val="20"/>
                <w:kern w:val="1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20"/>
                <w:kern w:val="10"/>
                <w:sz w:val="22"/>
                <w:szCs w:val="22"/>
                <w:lang w:val="en-US" w:eastAsia="zh-CN"/>
              </w:rPr>
              <w:t>10</w:t>
            </w:r>
          </w:p>
        </w:tc>
        <w:tc>
          <w:tcPr>
            <w:tcW w:w="1225" w:type="dxa"/>
            <w:vMerge w:val="continue"/>
            <w:tcBorders/>
            <w:noWrap w:val="0"/>
            <w:vAlign w:val="center"/>
          </w:tcPr>
          <w:p w14:paraId="7C83C45D">
            <w:pPr>
              <w:widowControl/>
              <w:jc w:val="center"/>
              <w:textAlignment w:val="top"/>
              <w:rPr>
                <w:rFonts w:hint="eastAsia" w:ascii="华文楷体" w:hAnsi="华文楷体" w:eastAsia="华文楷体" w:cs="华文楷体"/>
                <w:sz w:val="22"/>
              </w:rPr>
            </w:pPr>
          </w:p>
        </w:tc>
      </w:tr>
      <w:tr w14:paraId="1E4FE1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516" w:type="dxa"/>
            <w:shd w:val="clear"/>
            <w:noWrap w:val="0"/>
            <w:vAlign w:val="center"/>
          </w:tcPr>
          <w:p w14:paraId="38C6BF0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pacing w:val="20"/>
                <w:kern w:val="1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pacing w:val="20"/>
                <w:kern w:val="10"/>
                <w:sz w:val="21"/>
                <w:szCs w:val="21"/>
                <w:lang w:val="en-US" w:eastAsia="zh-CN"/>
              </w:rPr>
              <w:t>57</w:t>
            </w:r>
          </w:p>
        </w:tc>
        <w:tc>
          <w:tcPr>
            <w:tcW w:w="2139" w:type="dxa"/>
            <w:shd w:val="clear" w:color="auto" w:fill="auto"/>
            <w:noWrap w:val="0"/>
            <w:vAlign w:val="center"/>
          </w:tcPr>
          <w:p w14:paraId="05E2BE6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华文楷体" w:hAnsi="华文楷体" w:eastAsia="华文楷体" w:cs="华文楷体"/>
                <w:color w:val="auto"/>
                <w:spacing w:val="20"/>
                <w:kern w:val="1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华文楷体" w:hAnsi="华文楷体" w:eastAsia="华文楷体" w:cs="华文楷体"/>
                <w:color w:val="auto"/>
                <w:spacing w:val="20"/>
                <w:kern w:val="10"/>
                <w:sz w:val="22"/>
                <w:szCs w:val="22"/>
                <w:lang w:val="en-US" w:eastAsia="zh-CN"/>
              </w:rPr>
              <w:t>试管架</w:t>
            </w:r>
          </w:p>
        </w:tc>
        <w:tc>
          <w:tcPr>
            <w:tcW w:w="2530" w:type="dxa"/>
            <w:shd w:val="clear" w:color="auto" w:fill="auto"/>
            <w:noWrap w:val="0"/>
            <w:vAlign w:val="center"/>
          </w:tcPr>
          <w:p w14:paraId="18D8A7F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pacing w:val="20"/>
                <w:kern w:val="1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pacing w:val="20"/>
                <w:kern w:val="10"/>
                <w:sz w:val="22"/>
                <w:szCs w:val="22"/>
                <w:lang w:val="en-US" w:eastAsia="zh-CN"/>
              </w:rPr>
              <w:t>孔径17mm，17×50孔，长24.1cm，宽11.7cm，耐酸碱，可高压，</w:t>
            </w:r>
          </w:p>
        </w:tc>
        <w:tc>
          <w:tcPr>
            <w:tcW w:w="858" w:type="dxa"/>
            <w:shd w:val="clear" w:color="auto" w:fill="auto"/>
            <w:noWrap w:val="0"/>
            <w:vAlign w:val="center"/>
          </w:tcPr>
          <w:p w14:paraId="16C709A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pacing w:val="20"/>
                <w:kern w:val="1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20"/>
                <w:kern w:val="10"/>
                <w:sz w:val="22"/>
                <w:szCs w:val="22"/>
                <w:lang w:val="en-US" w:eastAsia="zh-CN"/>
              </w:rPr>
              <w:t>个</w:t>
            </w:r>
          </w:p>
        </w:tc>
        <w:tc>
          <w:tcPr>
            <w:tcW w:w="819" w:type="dxa"/>
            <w:shd w:val="clear" w:color="auto" w:fill="auto"/>
            <w:noWrap w:val="0"/>
            <w:vAlign w:val="center"/>
          </w:tcPr>
          <w:p w14:paraId="24ADFBF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pacing w:val="20"/>
                <w:kern w:val="1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20"/>
                <w:kern w:val="10"/>
                <w:sz w:val="22"/>
                <w:szCs w:val="22"/>
                <w:lang w:val="en-US" w:eastAsia="zh-CN"/>
              </w:rPr>
              <w:t>15</w:t>
            </w:r>
          </w:p>
        </w:tc>
        <w:tc>
          <w:tcPr>
            <w:tcW w:w="1225" w:type="dxa"/>
            <w:vMerge w:val="continue"/>
            <w:tcBorders/>
            <w:noWrap w:val="0"/>
            <w:vAlign w:val="center"/>
          </w:tcPr>
          <w:p w14:paraId="4DD00841">
            <w:pPr>
              <w:widowControl/>
              <w:jc w:val="center"/>
              <w:textAlignment w:val="top"/>
              <w:rPr>
                <w:rFonts w:hint="eastAsia" w:ascii="华文楷体" w:hAnsi="华文楷体" w:eastAsia="华文楷体" w:cs="华文楷体"/>
                <w:sz w:val="22"/>
              </w:rPr>
            </w:pPr>
          </w:p>
        </w:tc>
      </w:tr>
      <w:tr w14:paraId="12AA52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516" w:type="dxa"/>
            <w:shd w:val="clear"/>
            <w:noWrap w:val="0"/>
            <w:vAlign w:val="center"/>
          </w:tcPr>
          <w:p w14:paraId="023ABDB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pacing w:val="20"/>
                <w:kern w:val="1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pacing w:val="20"/>
                <w:kern w:val="10"/>
                <w:sz w:val="21"/>
                <w:szCs w:val="21"/>
                <w:lang w:val="en-US" w:eastAsia="zh-CN"/>
              </w:rPr>
              <w:t>58</w:t>
            </w:r>
          </w:p>
        </w:tc>
        <w:tc>
          <w:tcPr>
            <w:tcW w:w="2139" w:type="dxa"/>
            <w:shd w:val="clear" w:color="auto" w:fill="auto"/>
            <w:noWrap w:val="0"/>
            <w:vAlign w:val="center"/>
          </w:tcPr>
          <w:p w14:paraId="719F3C6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华文楷体" w:hAnsi="华文楷体" w:eastAsia="华文楷体" w:cs="华文楷体"/>
                <w:color w:val="auto"/>
                <w:spacing w:val="20"/>
                <w:kern w:val="1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华文楷体" w:hAnsi="华文楷体" w:eastAsia="华文楷体" w:cs="华文楷体"/>
                <w:color w:val="auto"/>
                <w:spacing w:val="20"/>
                <w:kern w:val="10"/>
                <w:sz w:val="22"/>
                <w:szCs w:val="22"/>
                <w:lang w:val="en-US" w:eastAsia="zh-CN"/>
              </w:rPr>
              <w:t>试管架</w:t>
            </w:r>
          </w:p>
        </w:tc>
        <w:tc>
          <w:tcPr>
            <w:tcW w:w="2530" w:type="dxa"/>
            <w:shd w:val="clear" w:color="auto" w:fill="auto"/>
            <w:noWrap w:val="0"/>
            <w:vAlign w:val="center"/>
          </w:tcPr>
          <w:p w14:paraId="6079BFD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pacing w:val="20"/>
                <w:kern w:val="1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pacing w:val="20"/>
                <w:kern w:val="10"/>
                <w:sz w:val="22"/>
                <w:szCs w:val="22"/>
                <w:lang w:val="en-US" w:eastAsia="zh-CN"/>
              </w:rPr>
              <w:t>孔径31mm，31×30孔，长38cm，宽11.3cm，耐酸碱，可高压，</w:t>
            </w:r>
          </w:p>
        </w:tc>
        <w:tc>
          <w:tcPr>
            <w:tcW w:w="858" w:type="dxa"/>
            <w:shd w:val="clear" w:color="auto" w:fill="auto"/>
            <w:noWrap w:val="0"/>
            <w:vAlign w:val="center"/>
          </w:tcPr>
          <w:p w14:paraId="7BF1555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pacing w:val="20"/>
                <w:kern w:val="1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20"/>
                <w:kern w:val="10"/>
                <w:sz w:val="22"/>
                <w:szCs w:val="22"/>
                <w:lang w:val="en-US" w:eastAsia="zh-CN"/>
              </w:rPr>
              <w:t>个</w:t>
            </w:r>
          </w:p>
        </w:tc>
        <w:tc>
          <w:tcPr>
            <w:tcW w:w="819" w:type="dxa"/>
            <w:shd w:val="clear" w:color="auto" w:fill="auto"/>
            <w:noWrap w:val="0"/>
            <w:vAlign w:val="center"/>
          </w:tcPr>
          <w:p w14:paraId="0E822B2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pacing w:val="20"/>
                <w:kern w:val="1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20"/>
                <w:kern w:val="10"/>
                <w:sz w:val="22"/>
                <w:szCs w:val="22"/>
                <w:lang w:val="en-US" w:eastAsia="zh-CN" w:bidi="ar-SA"/>
              </w:rPr>
              <w:t>10</w:t>
            </w:r>
          </w:p>
        </w:tc>
        <w:tc>
          <w:tcPr>
            <w:tcW w:w="1225" w:type="dxa"/>
            <w:vMerge w:val="continue"/>
            <w:tcBorders/>
            <w:noWrap w:val="0"/>
            <w:vAlign w:val="center"/>
          </w:tcPr>
          <w:p w14:paraId="3394A372">
            <w:pPr>
              <w:widowControl/>
              <w:jc w:val="center"/>
              <w:textAlignment w:val="top"/>
              <w:rPr>
                <w:rFonts w:hint="eastAsia" w:ascii="华文楷体" w:hAnsi="华文楷体" w:eastAsia="华文楷体" w:cs="华文楷体"/>
                <w:sz w:val="22"/>
              </w:rPr>
            </w:pPr>
          </w:p>
        </w:tc>
      </w:tr>
      <w:tr w14:paraId="7852A2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516" w:type="dxa"/>
            <w:shd w:val="clear"/>
            <w:noWrap w:val="0"/>
            <w:vAlign w:val="center"/>
          </w:tcPr>
          <w:p w14:paraId="7946481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pacing w:val="20"/>
                <w:kern w:val="1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pacing w:val="20"/>
                <w:kern w:val="10"/>
                <w:sz w:val="21"/>
                <w:szCs w:val="21"/>
                <w:lang w:val="en-US" w:eastAsia="zh-CN"/>
              </w:rPr>
              <w:t>59</w:t>
            </w:r>
          </w:p>
        </w:tc>
        <w:tc>
          <w:tcPr>
            <w:tcW w:w="2139" w:type="dxa"/>
            <w:shd w:val="clear" w:color="auto" w:fill="auto"/>
            <w:noWrap w:val="0"/>
            <w:vAlign w:val="center"/>
          </w:tcPr>
          <w:p w14:paraId="3F8C9A2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华文楷体" w:hAnsi="华文楷体" w:eastAsia="华文楷体" w:cs="华文楷体"/>
                <w:color w:val="auto"/>
                <w:spacing w:val="20"/>
                <w:kern w:val="1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华文楷体" w:hAnsi="华文楷体" w:eastAsia="华文楷体" w:cs="华文楷体"/>
                <w:color w:val="auto"/>
                <w:spacing w:val="20"/>
                <w:kern w:val="10"/>
                <w:sz w:val="22"/>
                <w:szCs w:val="22"/>
                <w:lang w:val="en-US" w:eastAsia="zh-CN"/>
              </w:rPr>
              <w:t>冰冻切片毛笔</w:t>
            </w:r>
          </w:p>
        </w:tc>
        <w:tc>
          <w:tcPr>
            <w:tcW w:w="2530" w:type="dxa"/>
            <w:shd w:val="clear" w:color="auto" w:fill="auto"/>
            <w:noWrap w:val="0"/>
            <w:vAlign w:val="center"/>
          </w:tcPr>
          <w:p w14:paraId="6455053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pacing w:val="20"/>
                <w:kern w:val="1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pacing w:val="20"/>
                <w:kern w:val="10"/>
                <w:sz w:val="22"/>
                <w:szCs w:val="22"/>
                <w:lang w:val="en-US" w:eastAsia="zh-CN"/>
              </w:rPr>
              <w:t>毛长3.5cm</w:t>
            </w:r>
          </w:p>
        </w:tc>
        <w:tc>
          <w:tcPr>
            <w:tcW w:w="858" w:type="dxa"/>
            <w:shd w:val="clear" w:color="auto" w:fill="auto"/>
            <w:noWrap w:val="0"/>
            <w:vAlign w:val="center"/>
          </w:tcPr>
          <w:p w14:paraId="4A5A959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pacing w:val="20"/>
                <w:kern w:val="1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20"/>
                <w:kern w:val="10"/>
                <w:sz w:val="22"/>
                <w:szCs w:val="22"/>
                <w:lang w:val="en-US" w:eastAsia="zh-CN"/>
              </w:rPr>
              <w:t>支</w:t>
            </w:r>
          </w:p>
        </w:tc>
        <w:tc>
          <w:tcPr>
            <w:tcW w:w="819" w:type="dxa"/>
            <w:shd w:val="clear" w:color="auto" w:fill="auto"/>
            <w:noWrap w:val="0"/>
            <w:vAlign w:val="center"/>
          </w:tcPr>
          <w:p w14:paraId="26C9475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pacing w:val="20"/>
                <w:kern w:val="1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20"/>
                <w:kern w:val="10"/>
                <w:sz w:val="22"/>
                <w:szCs w:val="22"/>
                <w:lang w:val="en-US" w:eastAsia="zh-CN"/>
              </w:rPr>
              <w:t>2</w:t>
            </w:r>
          </w:p>
        </w:tc>
        <w:tc>
          <w:tcPr>
            <w:tcW w:w="1225" w:type="dxa"/>
            <w:vMerge w:val="continue"/>
            <w:tcBorders/>
            <w:noWrap w:val="0"/>
            <w:vAlign w:val="center"/>
          </w:tcPr>
          <w:p w14:paraId="1AFEE080">
            <w:pPr>
              <w:widowControl/>
              <w:jc w:val="center"/>
              <w:textAlignment w:val="top"/>
              <w:rPr>
                <w:rFonts w:hint="eastAsia" w:ascii="华文楷体" w:hAnsi="华文楷体" w:eastAsia="华文楷体" w:cs="华文楷体"/>
                <w:sz w:val="22"/>
              </w:rPr>
            </w:pPr>
          </w:p>
        </w:tc>
      </w:tr>
      <w:tr w14:paraId="7BFDCF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516" w:type="dxa"/>
            <w:shd w:val="clear"/>
            <w:noWrap w:val="0"/>
            <w:vAlign w:val="center"/>
          </w:tcPr>
          <w:p w14:paraId="6754D74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pacing w:val="20"/>
                <w:kern w:val="1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pacing w:val="20"/>
                <w:kern w:val="10"/>
                <w:sz w:val="21"/>
                <w:szCs w:val="21"/>
                <w:lang w:val="en-US" w:eastAsia="zh-CN"/>
              </w:rPr>
              <w:t>60</w:t>
            </w:r>
          </w:p>
        </w:tc>
        <w:tc>
          <w:tcPr>
            <w:tcW w:w="2139" w:type="dxa"/>
            <w:shd w:val="clear" w:color="auto" w:fill="auto"/>
            <w:noWrap w:val="0"/>
            <w:vAlign w:val="center"/>
          </w:tcPr>
          <w:p w14:paraId="1ADDF30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华文楷体" w:hAnsi="华文楷体" w:eastAsia="华文楷体" w:cs="华文楷体"/>
                <w:color w:val="auto"/>
                <w:spacing w:val="20"/>
                <w:kern w:val="1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华文楷体" w:hAnsi="华文楷体" w:eastAsia="华文楷体" w:cs="华文楷体"/>
                <w:color w:val="auto"/>
                <w:spacing w:val="20"/>
                <w:kern w:val="10"/>
                <w:sz w:val="22"/>
                <w:szCs w:val="22"/>
                <w:lang w:val="en-US" w:eastAsia="zh-CN"/>
              </w:rPr>
              <w:t>冰冻切片毛笔</w:t>
            </w:r>
          </w:p>
        </w:tc>
        <w:tc>
          <w:tcPr>
            <w:tcW w:w="2530" w:type="dxa"/>
            <w:shd w:val="clear" w:color="auto" w:fill="auto"/>
            <w:noWrap w:val="0"/>
            <w:vAlign w:val="center"/>
          </w:tcPr>
          <w:p w14:paraId="32D92C9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pacing w:val="20"/>
                <w:kern w:val="1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pacing w:val="20"/>
                <w:kern w:val="10"/>
                <w:sz w:val="22"/>
                <w:szCs w:val="22"/>
                <w:lang w:val="en-US" w:eastAsia="zh-CN"/>
              </w:rPr>
              <w:t>毛长1.6cm</w:t>
            </w:r>
          </w:p>
        </w:tc>
        <w:tc>
          <w:tcPr>
            <w:tcW w:w="858" w:type="dxa"/>
            <w:shd w:val="clear" w:color="auto" w:fill="auto"/>
            <w:noWrap w:val="0"/>
            <w:vAlign w:val="center"/>
          </w:tcPr>
          <w:p w14:paraId="48D1FB8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pacing w:val="20"/>
                <w:kern w:val="1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20"/>
                <w:kern w:val="10"/>
                <w:sz w:val="22"/>
                <w:szCs w:val="22"/>
                <w:lang w:val="en-US" w:eastAsia="zh-CN"/>
              </w:rPr>
              <w:t>支</w:t>
            </w:r>
          </w:p>
        </w:tc>
        <w:tc>
          <w:tcPr>
            <w:tcW w:w="819" w:type="dxa"/>
            <w:shd w:val="clear" w:color="auto" w:fill="auto"/>
            <w:noWrap w:val="0"/>
            <w:vAlign w:val="center"/>
          </w:tcPr>
          <w:p w14:paraId="507C5D8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pacing w:val="20"/>
                <w:kern w:val="1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20"/>
                <w:kern w:val="10"/>
                <w:sz w:val="22"/>
                <w:szCs w:val="22"/>
                <w:lang w:val="en-US" w:eastAsia="zh-CN"/>
              </w:rPr>
              <w:t>2</w:t>
            </w:r>
          </w:p>
        </w:tc>
        <w:tc>
          <w:tcPr>
            <w:tcW w:w="1225" w:type="dxa"/>
            <w:vMerge w:val="continue"/>
            <w:tcBorders/>
            <w:noWrap w:val="0"/>
            <w:vAlign w:val="center"/>
          </w:tcPr>
          <w:p w14:paraId="4D669907">
            <w:pPr>
              <w:widowControl/>
              <w:jc w:val="center"/>
              <w:textAlignment w:val="top"/>
              <w:rPr>
                <w:rFonts w:hint="eastAsia" w:ascii="华文楷体" w:hAnsi="华文楷体" w:eastAsia="华文楷体" w:cs="华文楷体"/>
                <w:sz w:val="22"/>
              </w:rPr>
            </w:pPr>
          </w:p>
        </w:tc>
      </w:tr>
      <w:tr w14:paraId="79A583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516" w:type="dxa"/>
            <w:shd w:val="clear"/>
            <w:noWrap w:val="0"/>
            <w:vAlign w:val="center"/>
          </w:tcPr>
          <w:p w14:paraId="3736217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pacing w:val="20"/>
                <w:kern w:val="1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pacing w:val="20"/>
                <w:kern w:val="10"/>
                <w:sz w:val="21"/>
                <w:szCs w:val="21"/>
                <w:lang w:val="en-US" w:eastAsia="zh-CN"/>
              </w:rPr>
              <w:t>61</w:t>
            </w:r>
          </w:p>
        </w:tc>
        <w:tc>
          <w:tcPr>
            <w:tcW w:w="2139" w:type="dxa"/>
            <w:shd w:val="clear" w:color="auto" w:fill="auto"/>
            <w:noWrap w:val="0"/>
            <w:vAlign w:val="center"/>
          </w:tcPr>
          <w:p w14:paraId="2BDCE33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华文楷体" w:hAnsi="华文楷体" w:eastAsia="华文楷体" w:cs="华文楷体"/>
                <w:color w:val="auto"/>
                <w:spacing w:val="20"/>
                <w:kern w:val="1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华文楷体" w:hAnsi="华文楷体" w:eastAsia="华文楷体" w:cs="华文楷体"/>
                <w:color w:val="auto"/>
                <w:spacing w:val="20"/>
                <w:kern w:val="10"/>
                <w:sz w:val="22"/>
                <w:szCs w:val="22"/>
                <w:lang w:val="en-US" w:eastAsia="zh-CN"/>
              </w:rPr>
              <w:t>冰冻切片毛笔</w:t>
            </w:r>
          </w:p>
        </w:tc>
        <w:tc>
          <w:tcPr>
            <w:tcW w:w="2530" w:type="dxa"/>
            <w:shd w:val="clear" w:color="auto" w:fill="auto"/>
            <w:noWrap w:val="0"/>
            <w:vAlign w:val="center"/>
          </w:tcPr>
          <w:p w14:paraId="7BD8EBE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pacing w:val="20"/>
                <w:kern w:val="1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pacing w:val="20"/>
                <w:kern w:val="10"/>
                <w:sz w:val="22"/>
                <w:szCs w:val="22"/>
                <w:lang w:val="en-US" w:eastAsia="zh-CN"/>
              </w:rPr>
              <w:t>毛长2.5cm</w:t>
            </w:r>
          </w:p>
        </w:tc>
        <w:tc>
          <w:tcPr>
            <w:tcW w:w="858" w:type="dxa"/>
            <w:shd w:val="clear" w:color="auto" w:fill="auto"/>
            <w:noWrap w:val="0"/>
            <w:vAlign w:val="center"/>
          </w:tcPr>
          <w:p w14:paraId="23CCB25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pacing w:val="20"/>
                <w:kern w:val="1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20"/>
                <w:kern w:val="10"/>
                <w:sz w:val="22"/>
                <w:szCs w:val="22"/>
                <w:lang w:val="en-US" w:eastAsia="zh-CN"/>
              </w:rPr>
              <w:t>支</w:t>
            </w:r>
          </w:p>
        </w:tc>
        <w:tc>
          <w:tcPr>
            <w:tcW w:w="819" w:type="dxa"/>
            <w:shd w:val="clear" w:color="auto" w:fill="auto"/>
            <w:noWrap w:val="0"/>
            <w:vAlign w:val="center"/>
          </w:tcPr>
          <w:p w14:paraId="3878A49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pacing w:val="20"/>
                <w:kern w:val="1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20"/>
                <w:kern w:val="10"/>
                <w:sz w:val="22"/>
                <w:szCs w:val="22"/>
                <w:lang w:val="en-US" w:eastAsia="zh-CN"/>
              </w:rPr>
              <w:t>2</w:t>
            </w:r>
          </w:p>
        </w:tc>
        <w:tc>
          <w:tcPr>
            <w:tcW w:w="1225" w:type="dxa"/>
            <w:vMerge w:val="continue"/>
            <w:tcBorders/>
            <w:noWrap w:val="0"/>
            <w:vAlign w:val="center"/>
          </w:tcPr>
          <w:p w14:paraId="113403E2">
            <w:pPr>
              <w:widowControl/>
              <w:jc w:val="center"/>
              <w:textAlignment w:val="top"/>
              <w:rPr>
                <w:rFonts w:hint="eastAsia" w:ascii="华文楷体" w:hAnsi="华文楷体" w:eastAsia="华文楷体" w:cs="华文楷体"/>
                <w:sz w:val="22"/>
              </w:rPr>
            </w:pPr>
          </w:p>
        </w:tc>
      </w:tr>
      <w:tr w14:paraId="35D70F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516" w:type="dxa"/>
            <w:shd w:val="clear"/>
            <w:noWrap w:val="0"/>
            <w:vAlign w:val="center"/>
          </w:tcPr>
          <w:p w14:paraId="7D1FEEA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pacing w:val="20"/>
                <w:kern w:val="1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pacing w:val="20"/>
                <w:kern w:val="10"/>
                <w:sz w:val="21"/>
                <w:szCs w:val="21"/>
                <w:lang w:val="en-US" w:eastAsia="zh-CN"/>
              </w:rPr>
              <w:t>62</w:t>
            </w:r>
          </w:p>
        </w:tc>
        <w:tc>
          <w:tcPr>
            <w:tcW w:w="2139" w:type="dxa"/>
            <w:shd w:val="clear" w:color="auto" w:fill="auto"/>
            <w:noWrap w:val="0"/>
            <w:vAlign w:val="center"/>
          </w:tcPr>
          <w:p w14:paraId="52A7D87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华文楷体" w:hAnsi="华文楷体" w:eastAsia="华文楷体" w:cs="华文楷体"/>
                <w:color w:val="auto"/>
                <w:spacing w:val="20"/>
                <w:kern w:val="1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华文楷体" w:hAnsi="华文楷体" w:eastAsia="华文楷体" w:cs="华文楷体"/>
                <w:color w:val="auto"/>
                <w:spacing w:val="20"/>
                <w:kern w:val="10"/>
                <w:sz w:val="22"/>
                <w:szCs w:val="22"/>
                <w:lang w:val="en-US" w:eastAsia="zh-CN"/>
              </w:rPr>
              <w:t>冰冻切片毛笔</w:t>
            </w:r>
          </w:p>
        </w:tc>
        <w:tc>
          <w:tcPr>
            <w:tcW w:w="2530" w:type="dxa"/>
            <w:shd w:val="clear" w:color="auto" w:fill="auto"/>
            <w:noWrap w:val="0"/>
            <w:vAlign w:val="center"/>
          </w:tcPr>
          <w:p w14:paraId="52E1A4C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pacing w:val="20"/>
                <w:kern w:val="1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pacing w:val="20"/>
                <w:kern w:val="10"/>
                <w:sz w:val="22"/>
                <w:szCs w:val="22"/>
                <w:lang w:val="en-US" w:eastAsia="zh-CN"/>
              </w:rPr>
              <w:t>毛长2.1cm</w:t>
            </w:r>
          </w:p>
        </w:tc>
        <w:tc>
          <w:tcPr>
            <w:tcW w:w="858" w:type="dxa"/>
            <w:shd w:val="clear" w:color="auto" w:fill="auto"/>
            <w:noWrap w:val="0"/>
            <w:vAlign w:val="center"/>
          </w:tcPr>
          <w:p w14:paraId="35DB68E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pacing w:val="20"/>
                <w:kern w:val="1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20"/>
                <w:kern w:val="10"/>
                <w:sz w:val="22"/>
                <w:szCs w:val="22"/>
                <w:lang w:val="en-US" w:eastAsia="zh-CN"/>
              </w:rPr>
              <w:t>支</w:t>
            </w:r>
          </w:p>
        </w:tc>
        <w:tc>
          <w:tcPr>
            <w:tcW w:w="819" w:type="dxa"/>
            <w:shd w:val="clear" w:color="auto" w:fill="auto"/>
            <w:noWrap w:val="0"/>
            <w:vAlign w:val="center"/>
          </w:tcPr>
          <w:p w14:paraId="4CD75DE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pacing w:val="20"/>
                <w:kern w:val="1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20"/>
                <w:kern w:val="10"/>
                <w:sz w:val="22"/>
                <w:szCs w:val="22"/>
                <w:lang w:val="en-US" w:eastAsia="zh-CN"/>
              </w:rPr>
              <w:t>2</w:t>
            </w:r>
          </w:p>
        </w:tc>
        <w:tc>
          <w:tcPr>
            <w:tcW w:w="1225" w:type="dxa"/>
            <w:vMerge w:val="continue"/>
            <w:tcBorders/>
            <w:noWrap w:val="0"/>
            <w:vAlign w:val="center"/>
          </w:tcPr>
          <w:p w14:paraId="1764C454">
            <w:pPr>
              <w:widowControl/>
              <w:jc w:val="center"/>
              <w:textAlignment w:val="top"/>
              <w:rPr>
                <w:rFonts w:hint="eastAsia" w:ascii="华文楷体" w:hAnsi="华文楷体" w:eastAsia="华文楷体" w:cs="华文楷体"/>
                <w:sz w:val="22"/>
              </w:rPr>
            </w:pPr>
          </w:p>
        </w:tc>
      </w:tr>
      <w:tr w14:paraId="5D178B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516" w:type="dxa"/>
            <w:shd w:val="clear"/>
            <w:noWrap w:val="0"/>
            <w:vAlign w:val="center"/>
          </w:tcPr>
          <w:p w14:paraId="1C0FFA9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pacing w:val="20"/>
                <w:kern w:val="1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pacing w:val="20"/>
                <w:kern w:val="10"/>
                <w:sz w:val="21"/>
                <w:szCs w:val="21"/>
                <w:lang w:val="en-US" w:eastAsia="zh-CN"/>
              </w:rPr>
              <w:t>63</w:t>
            </w:r>
          </w:p>
        </w:tc>
        <w:tc>
          <w:tcPr>
            <w:tcW w:w="2139" w:type="dxa"/>
            <w:shd w:val="clear" w:color="auto" w:fill="auto"/>
            <w:noWrap w:val="0"/>
            <w:vAlign w:val="center"/>
          </w:tcPr>
          <w:p w14:paraId="79451BCD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华文楷体" w:hAnsi="华文楷体" w:eastAsia="华文楷体" w:cs="华文楷体"/>
                <w:color w:val="auto"/>
                <w:spacing w:val="20"/>
                <w:kern w:val="1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华文楷体" w:hAnsi="华文楷体" w:eastAsia="华文楷体" w:cs="华文楷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1cm石英比色皿</w:t>
            </w:r>
          </w:p>
        </w:tc>
        <w:tc>
          <w:tcPr>
            <w:tcW w:w="2530" w:type="dxa"/>
            <w:shd w:val="clear" w:color="auto" w:fill="auto"/>
            <w:noWrap w:val="0"/>
            <w:vAlign w:val="center"/>
          </w:tcPr>
          <w:p w14:paraId="222B8B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pacing w:val="20"/>
                <w:kern w:val="1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2支/套</w:t>
            </w:r>
          </w:p>
        </w:tc>
        <w:tc>
          <w:tcPr>
            <w:tcW w:w="858" w:type="dxa"/>
            <w:shd w:val="clear" w:color="auto" w:fill="auto"/>
            <w:noWrap w:val="0"/>
            <w:vAlign w:val="center"/>
          </w:tcPr>
          <w:p w14:paraId="113C20C0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color w:val="auto"/>
                <w:spacing w:val="20"/>
                <w:kern w:val="1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  <w:tc>
          <w:tcPr>
            <w:tcW w:w="819" w:type="dxa"/>
            <w:shd w:val="clear" w:color="auto" w:fill="auto"/>
            <w:noWrap w:val="0"/>
            <w:vAlign w:val="center"/>
          </w:tcPr>
          <w:p w14:paraId="7837731E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color w:val="auto"/>
                <w:spacing w:val="20"/>
                <w:kern w:val="1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225" w:type="dxa"/>
            <w:vMerge w:val="continue"/>
            <w:tcBorders/>
            <w:noWrap w:val="0"/>
            <w:vAlign w:val="center"/>
          </w:tcPr>
          <w:p w14:paraId="25DF2002">
            <w:pPr>
              <w:widowControl/>
              <w:jc w:val="center"/>
              <w:textAlignment w:val="top"/>
              <w:rPr>
                <w:rFonts w:hint="eastAsia" w:ascii="华文楷体" w:hAnsi="华文楷体" w:eastAsia="华文楷体" w:cs="华文楷体"/>
                <w:sz w:val="22"/>
              </w:rPr>
            </w:pPr>
          </w:p>
        </w:tc>
      </w:tr>
      <w:tr w14:paraId="2F49D0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516" w:type="dxa"/>
            <w:shd w:val="clear"/>
            <w:noWrap w:val="0"/>
            <w:vAlign w:val="center"/>
          </w:tcPr>
          <w:p w14:paraId="70CDA3C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pacing w:val="20"/>
                <w:kern w:val="1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pacing w:val="20"/>
                <w:kern w:val="10"/>
                <w:sz w:val="21"/>
                <w:szCs w:val="21"/>
                <w:lang w:val="en-US" w:eastAsia="zh-CN"/>
              </w:rPr>
              <w:t>64</w:t>
            </w:r>
          </w:p>
        </w:tc>
        <w:tc>
          <w:tcPr>
            <w:tcW w:w="2139" w:type="dxa"/>
            <w:shd w:val="clear" w:color="auto" w:fill="auto"/>
            <w:noWrap w:val="0"/>
            <w:vAlign w:val="center"/>
          </w:tcPr>
          <w:p w14:paraId="0A02B921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华文楷体" w:hAnsi="华文楷体" w:eastAsia="华文楷体" w:cs="华文楷体"/>
                <w:color w:val="auto"/>
                <w:spacing w:val="20"/>
                <w:kern w:val="1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华文楷体" w:hAnsi="华文楷体" w:eastAsia="华文楷体" w:cs="华文楷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0.5cm石英比色皿</w:t>
            </w:r>
          </w:p>
        </w:tc>
        <w:tc>
          <w:tcPr>
            <w:tcW w:w="2530" w:type="dxa"/>
            <w:shd w:val="clear" w:color="auto" w:fill="auto"/>
            <w:noWrap w:val="0"/>
            <w:vAlign w:val="center"/>
          </w:tcPr>
          <w:p w14:paraId="437C40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pacing w:val="20"/>
                <w:kern w:val="1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2支/套</w:t>
            </w:r>
          </w:p>
        </w:tc>
        <w:tc>
          <w:tcPr>
            <w:tcW w:w="858" w:type="dxa"/>
            <w:shd w:val="clear" w:color="auto" w:fill="auto"/>
            <w:noWrap w:val="0"/>
            <w:vAlign w:val="center"/>
          </w:tcPr>
          <w:p w14:paraId="59BDF77C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color w:val="auto"/>
                <w:spacing w:val="20"/>
                <w:kern w:val="1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  <w:tc>
          <w:tcPr>
            <w:tcW w:w="819" w:type="dxa"/>
            <w:shd w:val="clear" w:color="auto" w:fill="auto"/>
            <w:noWrap w:val="0"/>
            <w:vAlign w:val="center"/>
          </w:tcPr>
          <w:p w14:paraId="56AED76E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color w:val="auto"/>
                <w:spacing w:val="20"/>
                <w:kern w:val="1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225" w:type="dxa"/>
            <w:vMerge w:val="continue"/>
            <w:tcBorders/>
            <w:noWrap w:val="0"/>
            <w:vAlign w:val="center"/>
          </w:tcPr>
          <w:p w14:paraId="6055312E">
            <w:pPr>
              <w:widowControl/>
              <w:jc w:val="center"/>
              <w:textAlignment w:val="top"/>
              <w:rPr>
                <w:rFonts w:hint="eastAsia" w:ascii="华文楷体" w:hAnsi="华文楷体" w:eastAsia="华文楷体" w:cs="华文楷体"/>
                <w:sz w:val="22"/>
              </w:rPr>
            </w:pPr>
          </w:p>
        </w:tc>
      </w:tr>
      <w:tr w14:paraId="5EB3EF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516" w:type="dxa"/>
            <w:shd w:val="clear"/>
            <w:noWrap w:val="0"/>
            <w:vAlign w:val="center"/>
          </w:tcPr>
          <w:p w14:paraId="3389C38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pacing w:val="20"/>
                <w:kern w:val="1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pacing w:val="20"/>
                <w:kern w:val="10"/>
                <w:sz w:val="21"/>
                <w:szCs w:val="21"/>
                <w:lang w:val="en-US" w:eastAsia="zh-CN"/>
              </w:rPr>
              <w:t>65</w:t>
            </w:r>
          </w:p>
        </w:tc>
        <w:tc>
          <w:tcPr>
            <w:tcW w:w="2139" w:type="dxa"/>
            <w:shd w:val="clear" w:color="auto" w:fill="auto"/>
            <w:noWrap w:val="0"/>
            <w:vAlign w:val="center"/>
          </w:tcPr>
          <w:p w14:paraId="4469699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华文楷体" w:hAnsi="华文楷体" w:eastAsia="华文楷体" w:cs="华文楷体"/>
                <w:color w:val="auto"/>
                <w:spacing w:val="20"/>
                <w:kern w:val="1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华文楷体" w:hAnsi="华文楷体" w:eastAsia="华文楷体" w:cs="华文楷体"/>
                <w:color w:val="auto"/>
                <w:spacing w:val="20"/>
                <w:kern w:val="10"/>
                <w:sz w:val="22"/>
                <w:szCs w:val="22"/>
                <w:lang w:val="en-US" w:eastAsia="zh-CN"/>
              </w:rPr>
              <w:t>包埋盒</w:t>
            </w:r>
          </w:p>
        </w:tc>
        <w:tc>
          <w:tcPr>
            <w:tcW w:w="2530" w:type="dxa"/>
            <w:shd w:val="clear" w:color="auto" w:fill="auto"/>
            <w:noWrap w:val="0"/>
            <w:vAlign w:val="center"/>
          </w:tcPr>
          <w:p w14:paraId="3A7DB06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pacing w:val="20"/>
                <w:kern w:val="1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pacing w:val="20"/>
                <w:kern w:val="10"/>
                <w:sz w:val="22"/>
                <w:szCs w:val="22"/>
                <w:lang w:val="en-US" w:eastAsia="zh-CN" w:bidi="ar-SA"/>
              </w:rPr>
              <w:t>POM材质，带书写区，250片/盒，孔径5mm，孔径形状：长条形。</w:t>
            </w:r>
          </w:p>
        </w:tc>
        <w:tc>
          <w:tcPr>
            <w:tcW w:w="858" w:type="dxa"/>
            <w:shd w:val="clear" w:color="auto" w:fill="auto"/>
            <w:noWrap w:val="0"/>
            <w:vAlign w:val="center"/>
          </w:tcPr>
          <w:p w14:paraId="0B6DAA8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pacing w:val="20"/>
                <w:kern w:val="1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20"/>
                <w:kern w:val="10"/>
                <w:sz w:val="22"/>
                <w:szCs w:val="22"/>
                <w:lang w:val="en-US" w:eastAsia="zh-CN" w:bidi="ar-SA"/>
              </w:rPr>
              <w:t>盒</w:t>
            </w:r>
          </w:p>
        </w:tc>
        <w:tc>
          <w:tcPr>
            <w:tcW w:w="819" w:type="dxa"/>
            <w:shd w:val="clear" w:color="auto" w:fill="auto"/>
            <w:noWrap w:val="0"/>
            <w:vAlign w:val="center"/>
          </w:tcPr>
          <w:p w14:paraId="076723B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pacing w:val="20"/>
                <w:kern w:val="1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20"/>
                <w:kern w:val="10"/>
                <w:sz w:val="22"/>
                <w:szCs w:val="22"/>
                <w:lang w:val="en-US" w:eastAsia="zh-CN" w:bidi="ar-SA"/>
              </w:rPr>
              <w:t>4</w:t>
            </w:r>
          </w:p>
        </w:tc>
        <w:tc>
          <w:tcPr>
            <w:tcW w:w="1225" w:type="dxa"/>
            <w:vMerge w:val="continue"/>
            <w:tcBorders/>
            <w:noWrap w:val="0"/>
            <w:vAlign w:val="center"/>
          </w:tcPr>
          <w:p w14:paraId="17914DB8">
            <w:pPr>
              <w:widowControl/>
              <w:jc w:val="center"/>
              <w:textAlignment w:val="top"/>
              <w:rPr>
                <w:rFonts w:hint="eastAsia" w:ascii="华文楷体" w:hAnsi="华文楷体" w:eastAsia="华文楷体" w:cs="华文楷体"/>
                <w:sz w:val="22"/>
              </w:rPr>
            </w:pPr>
          </w:p>
        </w:tc>
      </w:tr>
      <w:tr w14:paraId="65E631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516" w:type="dxa"/>
            <w:shd w:val="clear"/>
            <w:noWrap w:val="0"/>
            <w:vAlign w:val="center"/>
          </w:tcPr>
          <w:p w14:paraId="1A46F56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pacing w:val="20"/>
                <w:kern w:val="1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pacing w:val="20"/>
                <w:kern w:val="10"/>
                <w:sz w:val="21"/>
                <w:szCs w:val="21"/>
                <w:lang w:val="en-US" w:eastAsia="zh-CN"/>
              </w:rPr>
              <w:t>66</w:t>
            </w:r>
          </w:p>
        </w:tc>
        <w:tc>
          <w:tcPr>
            <w:tcW w:w="2139" w:type="dxa"/>
            <w:shd w:val="clear" w:color="auto" w:fill="auto"/>
            <w:noWrap w:val="0"/>
            <w:vAlign w:val="center"/>
          </w:tcPr>
          <w:p w14:paraId="5C1A808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华文楷体" w:hAnsi="华文楷体" w:eastAsia="华文楷体" w:cs="华文楷体"/>
                <w:color w:val="auto"/>
                <w:spacing w:val="20"/>
                <w:kern w:val="1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华文楷体" w:hAnsi="华文楷体" w:eastAsia="华文楷体" w:cs="华文楷体"/>
                <w:color w:val="auto"/>
                <w:spacing w:val="20"/>
                <w:kern w:val="10"/>
                <w:sz w:val="22"/>
                <w:szCs w:val="22"/>
                <w:lang w:val="en-US" w:eastAsia="zh-CN"/>
              </w:rPr>
              <w:t>Otc包埋盒</w:t>
            </w:r>
          </w:p>
        </w:tc>
        <w:tc>
          <w:tcPr>
            <w:tcW w:w="2530" w:type="dxa"/>
            <w:shd w:val="clear" w:color="auto" w:fill="auto"/>
            <w:noWrap w:val="0"/>
            <w:vAlign w:val="center"/>
          </w:tcPr>
          <w:p w14:paraId="5EBAD1D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pacing w:val="20"/>
                <w:kern w:val="1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pacing w:val="20"/>
                <w:kern w:val="10"/>
                <w:sz w:val="22"/>
                <w:szCs w:val="22"/>
                <w:lang w:val="en-US" w:eastAsia="zh-CN"/>
              </w:rPr>
              <w:t>加深30*20*12mm,100个/包</w:t>
            </w:r>
          </w:p>
        </w:tc>
        <w:tc>
          <w:tcPr>
            <w:tcW w:w="858" w:type="dxa"/>
            <w:shd w:val="clear" w:color="auto" w:fill="auto"/>
            <w:noWrap w:val="0"/>
            <w:vAlign w:val="center"/>
          </w:tcPr>
          <w:p w14:paraId="036AB27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pacing w:val="20"/>
                <w:kern w:val="1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20"/>
                <w:kern w:val="10"/>
                <w:sz w:val="22"/>
                <w:szCs w:val="22"/>
                <w:lang w:val="en-US" w:eastAsia="zh-CN"/>
              </w:rPr>
              <w:t>包</w:t>
            </w:r>
          </w:p>
        </w:tc>
        <w:tc>
          <w:tcPr>
            <w:tcW w:w="819" w:type="dxa"/>
            <w:shd w:val="clear" w:color="auto" w:fill="auto"/>
            <w:noWrap w:val="0"/>
            <w:vAlign w:val="center"/>
          </w:tcPr>
          <w:p w14:paraId="099F64F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pacing w:val="20"/>
                <w:kern w:val="1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20"/>
                <w:kern w:val="10"/>
                <w:sz w:val="22"/>
                <w:szCs w:val="22"/>
                <w:lang w:val="en-US" w:eastAsia="zh-CN"/>
              </w:rPr>
              <w:t>2</w:t>
            </w:r>
          </w:p>
        </w:tc>
        <w:tc>
          <w:tcPr>
            <w:tcW w:w="1225" w:type="dxa"/>
            <w:vMerge w:val="continue"/>
            <w:tcBorders/>
            <w:noWrap w:val="0"/>
            <w:vAlign w:val="center"/>
          </w:tcPr>
          <w:p w14:paraId="74A6AA19">
            <w:pPr>
              <w:widowControl/>
              <w:jc w:val="center"/>
              <w:textAlignment w:val="top"/>
              <w:rPr>
                <w:rFonts w:hint="eastAsia" w:ascii="华文楷体" w:hAnsi="华文楷体" w:eastAsia="华文楷体" w:cs="华文楷体"/>
                <w:sz w:val="22"/>
              </w:rPr>
            </w:pPr>
          </w:p>
        </w:tc>
      </w:tr>
      <w:tr w14:paraId="7DE5C1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516" w:type="dxa"/>
            <w:shd w:val="clear"/>
            <w:noWrap w:val="0"/>
            <w:vAlign w:val="center"/>
          </w:tcPr>
          <w:p w14:paraId="30C8031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pacing w:val="20"/>
                <w:kern w:val="1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pacing w:val="20"/>
                <w:kern w:val="10"/>
                <w:sz w:val="21"/>
                <w:szCs w:val="21"/>
                <w:lang w:val="en-US" w:eastAsia="zh-CN"/>
              </w:rPr>
              <w:t>67</w:t>
            </w:r>
          </w:p>
        </w:tc>
        <w:tc>
          <w:tcPr>
            <w:tcW w:w="2139" w:type="dxa"/>
            <w:shd w:val="clear" w:color="auto" w:fill="auto"/>
            <w:noWrap w:val="0"/>
            <w:vAlign w:val="center"/>
          </w:tcPr>
          <w:p w14:paraId="72DE1E8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华文楷体" w:hAnsi="华文楷体" w:eastAsia="华文楷体" w:cs="华文楷体"/>
                <w:color w:val="auto"/>
                <w:spacing w:val="20"/>
                <w:kern w:val="1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华文楷体" w:hAnsi="华文楷体" w:eastAsia="华文楷体" w:cs="华文楷体"/>
                <w:color w:val="auto"/>
                <w:spacing w:val="20"/>
                <w:kern w:val="10"/>
                <w:sz w:val="22"/>
                <w:szCs w:val="22"/>
                <w:lang w:val="en-US" w:eastAsia="zh-CN"/>
              </w:rPr>
              <w:t>福尔马林杯（标本瓶）</w:t>
            </w:r>
          </w:p>
        </w:tc>
        <w:tc>
          <w:tcPr>
            <w:tcW w:w="2530" w:type="dxa"/>
            <w:shd w:val="clear" w:color="auto" w:fill="auto"/>
            <w:noWrap w:val="0"/>
            <w:vAlign w:val="center"/>
          </w:tcPr>
          <w:p w14:paraId="4CA375E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pacing w:val="20"/>
                <w:kern w:val="1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pacing w:val="20"/>
                <w:kern w:val="10"/>
                <w:sz w:val="22"/>
                <w:szCs w:val="22"/>
                <w:lang w:val="en-US" w:eastAsia="zh-CN" w:bidi="ar-SA"/>
              </w:rPr>
              <w:t>500mL/瓶，螺口，带刻度，用于福尔马林浸泡标本。</w:t>
            </w:r>
          </w:p>
        </w:tc>
        <w:tc>
          <w:tcPr>
            <w:tcW w:w="858" w:type="dxa"/>
            <w:shd w:val="clear" w:color="auto" w:fill="auto"/>
            <w:noWrap w:val="0"/>
            <w:vAlign w:val="center"/>
          </w:tcPr>
          <w:p w14:paraId="219DFE0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pacing w:val="20"/>
                <w:kern w:val="1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20"/>
                <w:kern w:val="10"/>
                <w:sz w:val="22"/>
                <w:szCs w:val="22"/>
                <w:lang w:val="en-US" w:eastAsia="zh-CN"/>
              </w:rPr>
              <w:t>个</w:t>
            </w:r>
          </w:p>
        </w:tc>
        <w:tc>
          <w:tcPr>
            <w:tcW w:w="819" w:type="dxa"/>
            <w:shd w:val="clear" w:color="auto" w:fill="auto"/>
            <w:noWrap w:val="0"/>
            <w:vAlign w:val="center"/>
          </w:tcPr>
          <w:p w14:paraId="6B59AEF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pacing w:val="20"/>
                <w:kern w:val="1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20"/>
                <w:kern w:val="10"/>
                <w:sz w:val="22"/>
                <w:szCs w:val="22"/>
                <w:lang w:val="en-US" w:eastAsia="zh-CN" w:bidi="ar-SA"/>
              </w:rPr>
              <w:t>200</w:t>
            </w:r>
          </w:p>
        </w:tc>
        <w:tc>
          <w:tcPr>
            <w:tcW w:w="1225" w:type="dxa"/>
            <w:vMerge w:val="continue"/>
            <w:tcBorders/>
            <w:noWrap w:val="0"/>
            <w:vAlign w:val="center"/>
          </w:tcPr>
          <w:p w14:paraId="2D43AABA">
            <w:pPr>
              <w:widowControl/>
              <w:jc w:val="center"/>
              <w:textAlignment w:val="top"/>
              <w:rPr>
                <w:rFonts w:hint="eastAsia" w:ascii="华文楷体" w:hAnsi="华文楷体" w:eastAsia="华文楷体" w:cs="华文楷体"/>
                <w:sz w:val="22"/>
              </w:rPr>
            </w:pPr>
          </w:p>
        </w:tc>
      </w:tr>
      <w:tr w14:paraId="2AA2B5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516" w:type="dxa"/>
            <w:shd w:val="clear"/>
            <w:noWrap w:val="0"/>
            <w:vAlign w:val="center"/>
          </w:tcPr>
          <w:p w14:paraId="13FB316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pacing w:val="20"/>
                <w:kern w:val="1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pacing w:val="20"/>
                <w:kern w:val="10"/>
                <w:sz w:val="21"/>
                <w:szCs w:val="21"/>
                <w:lang w:val="en-US" w:eastAsia="zh-CN"/>
              </w:rPr>
              <w:t>68</w:t>
            </w:r>
          </w:p>
        </w:tc>
        <w:tc>
          <w:tcPr>
            <w:tcW w:w="2139" w:type="dxa"/>
            <w:shd w:val="clear" w:color="auto" w:fill="auto"/>
            <w:noWrap w:val="0"/>
            <w:vAlign w:val="center"/>
          </w:tcPr>
          <w:p w14:paraId="171B849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华文楷体" w:hAnsi="华文楷体" w:eastAsia="华文楷体" w:cs="华文楷体"/>
                <w:color w:val="auto"/>
                <w:spacing w:val="20"/>
                <w:kern w:val="1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华文楷体" w:hAnsi="华文楷体" w:eastAsia="华文楷体" w:cs="华文楷体"/>
                <w:color w:val="auto"/>
                <w:spacing w:val="20"/>
                <w:kern w:val="10"/>
                <w:sz w:val="22"/>
                <w:szCs w:val="22"/>
                <w:lang w:val="en-US" w:eastAsia="zh-CN"/>
              </w:rPr>
              <w:t>平底96孔细胞培养板（平底96孔酶标板</w:t>
            </w:r>
          </w:p>
        </w:tc>
        <w:tc>
          <w:tcPr>
            <w:tcW w:w="2530" w:type="dxa"/>
            <w:shd w:val="clear" w:color="auto" w:fill="auto"/>
            <w:noWrap w:val="0"/>
            <w:vAlign w:val="center"/>
          </w:tcPr>
          <w:p w14:paraId="696C925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pacing w:val="20"/>
                <w:kern w:val="1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pacing w:val="20"/>
                <w:kern w:val="10"/>
                <w:sz w:val="22"/>
                <w:szCs w:val="22"/>
                <w:lang w:val="en-US" w:eastAsia="zh-CN"/>
              </w:rPr>
              <w:t>平底，无菌，无热源，无RNA酶、无DNA酶，独立包装，可用于酶标仪。</w:t>
            </w:r>
          </w:p>
        </w:tc>
        <w:tc>
          <w:tcPr>
            <w:tcW w:w="858" w:type="dxa"/>
            <w:shd w:val="clear" w:color="auto" w:fill="auto"/>
            <w:noWrap w:val="0"/>
            <w:vAlign w:val="center"/>
          </w:tcPr>
          <w:p w14:paraId="7FFB4C3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pacing w:val="20"/>
                <w:kern w:val="1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20"/>
                <w:kern w:val="10"/>
                <w:sz w:val="22"/>
                <w:szCs w:val="22"/>
                <w:lang w:val="en-US" w:eastAsia="zh-CN"/>
              </w:rPr>
              <w:t>个</w:t>
            </w:r>
          </w:p>
        </w:tc>
        <w:tc>
          <w:tcPr>
            <w:tcW w:w="819" w:type="dxa"/>
            <w:shd w:val="clear" w:color="auto" w:fill="auto"/>
            <w:noWrap w:val="0"/>
            <w:vAlign w:val="center"/>
          </w:tcPr>
          <w:p w14:paraId="072B477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pacing w:val="20"/>
                <w:kern w:val="1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20"/>
                <w:kern w:val="10"/>
                <w:sz w:val="22"/>
                <w:szCs w:val="22"/>
                <w:lang w:val="en-US" w:eastAsia="zh-CN"/>
              </w:rPr>
              <w:t>20</w:t>
            </w:r>
          </w:p>
        </w:tc>
        <w:tc>
          <w:tcPr>
            <w:tcW w:w="1225" w:type="dxa"/>
            <w:vMerge w:val="continue"/>
            <w:tcBorders/>
            <w:noWrap w:val="0"/>
            <w:vAlign w:val="center"/>
          </w:tcPr>
          <w:p w14:paraId="324CB029">
            <w:pPr>
              <w:widowControl/>
              <w:jc w:val="center"/>
              <w:textAlignment w:val="top"/>
              <w:rPr>
                <w:rFonts w:hint="eastAsia" w:ascii="华文楷体" w:hAnsi="华文楷体" w:eastAsia="华文楷体" w:cs="华文楷体"/>
                <w:sz w:val="22"/>
              </w:rPr>
            </w:pPr>
          </w:p>
        </w:tc>
      </w:tr>
      <w:tr w14:paraId="4DB080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516" w:type="dxa"/>
            <w:shd w:val="clear"/>
            <w:noWrap w:val="0"/>
            <w:vAlign w:val="center"/>
          </w:tcPr>
          <w:p w14:paraId="5B69ED3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pacing w:val="20"/>
                <w:kern w:val="1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pacing w:val="20"/>
                <w:kern w:val="10"/>
                <w:sz w:val="21"/>
                <w:szCs w:val="21"/>
                <w:lang w:val="en-US" w:eastAsia="zh-CN"/>
              </w:rPr>
              <w:t>69</w:t>
            </w:r>
          </w:p>
        </w:tc>
        <w:tc>
          <w:tcPr>
            <w:tcW w:w="2139" w:type="dxa"/>
            <w:shd w:val="clear" w:color="auto" w:fill="auto"/>
            <w:noWrap w:val="0"/>
            <w:vAlign w:val="center"/>
          </w:tcPr>
          <w:p w14:paraId="0B49A74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华文楷体" w:hAnsi="华文楷体" w:eastAsia="华文楷体" w:cs="华文楷体"/>
                <w:color w:val="auto"/>
                <w:spacing w:val="20"/>
                <w:kern w:val="1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华文楷体" w:hAnsi="华文楷体" w:eastAsia="华文楷体" w:cs="华文楷体"/>
                <w:color w:val="auto"/>
                <w:spacing w:val="20"/>
                <w:kern w:val="10"/>
                <w:sz w:val="22"/>
                <w:szCs w:val="22"/>
                <w:lang w:val="en-US" w:eastAsia="zh-CN"/>
              </w:rPr>
              <w:t>通用A型移液抢架</w:t>
            </w:r>
          </w:p>
        </w:tc>
        <w:tc>
          <w:tcPr>
            <w:tcW w:w="2530" w:type="dxa"/>
            <w:shd w:val="clear" w:color="auto" w:fill="auto"/>
            <w:noWrap w:val="0"/>
            <w:vAlign w:val="center"/>
          </w:tcPr>
          <w:p w14:paraId="4F55022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pacing w:val="20"/>
                <w:kern w:val="1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pacing w:val="20"/>
                <w:kern w:val="10"/>
                <w:sz w:val="22"/>
                <w:szCs w:val="22"/>
                <w:lang w:val="en-US" w:eastAsia="zh-CN"/>
              </w:rPr>
              <w:t>可放置6支移液器。</w:t>
            </w:r>
          </w:p>
        </w:tc>
        <w:tc>
          <w:tcPr>
            <w:tcW w:w="858" w:type="dxa"/>
            <w:shd w:val="clear" w:color="auto" w:fill="auto"/>
            <w:noWrap w:val="0"/>
            <w:vAlign w:val="center"/>
          </w:tcPr>
          <w:p w14:paraId="7A6BA99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pacing w:val="20"/>
                <w:kern w:val="1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20"/>
                <w:kern w:val="10"/>
                <w:sz w:val="22"/>
                <w:szCs w:val="22"/>
                <w:lang w:val="en-US" w:eastAsia="zh-CN"/>
              </w:rPr>
              <w:t>个</w:t>
            </w:r>
          </w:p>
        </w:tc>
        <w:tc>
          <w:tcPr>
            <w:tcW w:w="819" w:type="dxa"/>
            <w:shd w:val="clear" w:color="auto" w:fill="auto"/>
            <w:noWrap w:val="0"/>
            <w:vAlign w:val="center"/>
          </w:tcPr>
          <w:p w14:paraId="16356DB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pacing w:val="20"/>
                <w:kern w:val="1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20"/>
                <w:kern w:val="10"/>
                <w:sz w:val="22"/>
                <w:szCs w:val="22"/>
                <w:lang w:val="en-US" w:eastAsia="zh-CN"/>
              </w:rPr>
              <w:t>4</w:t>
            </w:r>
          </w:p>
        </w:tc>
        <w:tc>
          <w:tcPr>
            <w:tcW w:w="1225" w:type="dxa"/>
            <w:vMerge w:val="continue"/>
            <w:tcBorders/>
            <w:noWrap w:val="0"/>
            <w:vAlign w:val="center"/>
          </w:tcPr>
          <w:p w14:paraId="3219B618">
            <w:pPr>
              <w:widowControl/>
              <w:jc w:val="center"/>
              <w:textAlignment w:val="top"/>
              <w:rPr>
                <w:rFonts w:hint="eastAsia" w:ascii="华文楷体" w:hAnsi="华文楷体" w:eastAsia="华文楷体" w:cs="华文楷体"/>
                <w:sz w:val="22"/>
              </w:rPr>
            </w:pPr>
          </w:p>
        </w:tc>
      </w:tr>
      <w:tr w14:paraId="75BA6C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516" w:type="dxa"/>
            <w:shd w:val="clear"/>
            <w:noWrap w:val="0"/>
            <w:vAlign w:val="center"/>
          </w:tcPr>
          <w:p w14:paraId="23D0CEB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pacing w:val="20"/>
                <w:kern w:val="1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pacing w:val="20"/>
                <w:kern w:val="10"/>
                <w:sz w:val="21"/>
                <w:szCs w:val="21"/>
                <w:lang w:val="en-US" w:eastAsia="zh-CN"/>
              </w:rPr>
              <w:t>70</w:t>
            </w:r>
          </w:p>
        </w:tc>
        <w:tc>
          <w:tcPr>
            <w:tcW w:w="2139" w:type="dxa"/>
            <w:shd w:val="clear" w:color="auto" w:fill="auto"/>
            <w:noWrap w:val="0"/>
            <w:vAlign w:val="center"/>
          </w:tcPr>
          <w:p w14:paraId="01CF9178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华文楷体" w:hAnsi="华文楷体" w:eastAsia="华文楷体" w:cs="华文楷体"/>
                <w:color w:val="auto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华文楷体" w:hAnsi="华文楷体" w:eastAsia="华文楷体" w:cs="华文楷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反穿式隔离衣</w:t>
            </w:r>
          </w:p>
        </w:tc>
        <w:tc>
          <w:tcPr>
            <w:tcW w:w="2530" w:type="dxa"/>
            <w:shd w:val="clear" w:color="auto" w:fill="auto"/>
            <w:noWrap w:val="0"/>
            <w:vAlign w:val="center"/>
          </w:tcPr>
          <w:p w14:paraId="3C64896A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color w:val="auto"/>
                <w:spacing w:val="20"/>
                <w:kern w:val="1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200件/箱、防水，透气，45g/件，单独包装。</w:t>
            </w:r>
          </w:p>
        </w:tc>
        <w:tc>
          <w:tcPr>
            <w:tcW w:w="858" w:type="dxa"/>
            <w:shd w:val="clear" w:color="auto" w:fill="auto"/>
            <w:noWrap w:val="0"/>
            <w:vAlign w:val="center"/>
          </w:tcPr>
          <w:p w14:paraId="09B991B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pacing w:val="20"/>
                <w:kern w:val="1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20"/>
                <w:kern w:val="10"/>
                <w:sz w:val="22"/>
                <w:szCs w:val="22"/>
              </w:rPr>
              <w:t>箱</w:t>
            </w:r>
          </w:p>
        </w:tc>
        <w:tc>
          <w:tcPr>
            <w:tcW w:w="819" w:type="dxa"/>
            <w:shd w:val="clear" w:color="auto" w:fill="auto"/>
            <w:noWrap w:val="0"/>
            <w:vAlign w:val="center"/>
          </w:tcPr>
          <w:p w14:paraId="0B08FF1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pacing w:val="20"/>
                <w:kern w:val="1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20"/>
                <w:kern w:val="10"/>
                <w:sz w:val="22"/>
                <w:szCs w:val="22"/>
              </w:rPr>
              <w:t>5</w:t>
            </w:r>
          </w:p>
        </w:tc>
        <w:tc>
          <w:tcPr>
            <w:tcW w:w="1225" w:type="dxa"/>
            <w:vMerge w:val="continue"/>
            <w:tcBorders/>
            <w:noWrap w:val="0"/>
            <w:vAlign w:val="center"/>
          </w:tcPr>
          <w:p w14:paraId="06477EAF">
            <w:pPr>
              <w:widowControl/>
              <w:jc w:val="center"/>
              <w:textAlignment w:val="top"/>
              <w:rPr>
                <w:rFonts w:hint="eastAsia" w:ascii="华文楷体" w:hAnsi="华文楷体" w:eastAsia="华文楷体" w:cs="华文楷体"/>
                <w:sz w:val="22"/>
              </w:rPr>
            </w:pPr>
          </w:p>
        </w:tc>
      </w:tr>
      <w:tr w14:paraId="73397F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516" w:type="dxa"/>
            <w:shd w:val="clear"/>
            <w:noWrap w:val="0"/>
            <w:vAlign w:val="center"/>
          </w:tcPr>
          <w:p w14:paraId="724F9A5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pacing w:val="20"/>
                <w:kern w:val="1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pacing w:val="20"/>
                <w:kern w:val="10"/>
                <w:sz w:val="21"/>
                <w:szCs w:val="21"/>
                <w:lang w:val="en-US" w:eastAsia="zh-CN"/>
              </w:rPr>
              <w:t>71</w:t>
            </w:r>
          </w:p>
        </w:tc>
        <w:tc>
          <w:tcPr>
            <w:tcW w:w="2139" w:type="dxa"/>
            <w:shd w:val="clear" w:color="auto" w:fill="auto"/>
            <w:noWrap w:val="0"/>
            <w:vAlign w:val="center"/>
          </w:tcPr>
          <w:p w14:paraId="4DE019D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华文楷体" w:hAnsi="华文楷体" w:eastAsia="华文楷体" w:cs="华文楷体"/>
                <w:color w:val="auto"/>
                <w:spacing w:val="20"/>
                <w:kern w:val="1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华文楷体" w:hAnsi="华文楷体" w:eastAsia="华文楷体" w:cs="华文楷体"/>
                <w:color w:val="auto"/>
                <w:spacing w:val="20"/>
                <w:kern w:val="10"/>
                <w:sz w:val="22"/>
                <w:szCs w:val="22"/>
                <w:lang w:val="en-US" w:eastAsia="zh-CN"/>
              </w:rPr>
              <w:t>徕卡刀片</w:t>
            </w:r>
          </w:p>
        </w:tc>
        <w:tc>
          <w:tcPr>
            <w:tcW w:w="2530" w:type="dxa"/>
            <w:shd w:val="clear" w:color="auto" w:fill="auto"/>
            <w:noWrap w:val="0"/>
            <w:vAlign w:val="center"/>
          </w:tcPr>
          <w:p w14:paraId="3987176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pacing w:val="20"/>
                <w:kern w:val="1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pacing w:val="20"/>
                <w:kern w:val="10"/>
                <w:sz w:val="22"/>
                <w:szCs w:val="22"/>
                <w:lang w:val="en-US" w:eastAsia="zh-CN"/>
              </w:rPr>
              <w:t>819整盒，80*8mm,厚0.25mm,50片/盒*5盒</w:t>
            </w:r>
          </w:p>
        </w:tc>
        <w:tc>
          <w:tcPr>
            <w:tcW w:w="858" w:type="dxa"/>
            <w:shd w:val="clear" w:color="auto" w:fill="auto"/>
            <w:noWrap w:val="0"/>
            <w:vAlign w:val="center"/>
          </w:tcPr>
          <w:p w14:paraId="3DC5273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pacing w:val="20"/>
                <w:kern w:val="1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20"/>
                <w:kern w:val="10"/>
                <w:sz w:val="22"/>
                <w:szCs w:val="22"/>
                <w:lang w:val="en-US" w:eastAsia="zh-CN"/>
              </w:rPr>
              <w:t>盒</w:t>
            </w:r>
          </w:p>
        </w:tc>
        <w:tc>
          <w:tcPr>
            <w:tcW w:w="819" w:type="dxa"/>
            <w:shd w:val="clear" w:color="auto" w:fill="auto"/>
            <w:noWrap w:val="0"/>
            <w:vAlign w:val="center"/>
          </w:tcPr>
          <w:p w14:paraId="3194159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pacing w:val="20"/>
                <w:kern w:val="1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20"/>
                <w:kern w:val="10"/>
                <w:sz w:val="22"/>
                <w:szCs w:val="22"/>
                <w:lang w:val="en-US" w:eastAsia="zh-CN"/>
              </w:rPr>
              <w:t>5</w:t>
            </w:r>
          </w:p>
        </w:tc>
        <w:tc>
          <w:tcPr>
            <w:tcW w:w="1225" w:type="dxa"/>
            <w:vMerge w:val="continue"/>
            <w:tcBorders/>
            <w:noWrap w:val="0"/>
            <w:vAlign w:val="center"/>
          </w:tcPr>
          <w:p w14:paraId="3166A936">
            <w:pPr>
              <w:widowControl/>
              <w:jc w:val="center"/>
              <w:textAlignment w:val="top"/>
              <w:rPr>
                <w:rFonts w:hint="eastAsia" w:ascii="华文楷体" w:hAnsi="华文楷体" w:eastAsia="华文楷体" w:cs="华文楷体"/>
                <w:sz w:val="22"/>
              </w:rPr>
            </w:pPr>
          </w:p>
        </w:tc>
      </w:tr>
      <w:tr w14:paraId="709C95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516" w:type="dxa"/>
            <w:shd w:val="clear"/>
            <w:noWrap w:val="0"/>
            <w:vAlign w:val="center"/>
          </w:tcPr>
          <w:p w14:paraId="641C782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pacing w:val="20"/>
                <w:kern w:val="1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pacing w:val="20"/>
                <w:kern w:val="10"/>
                <w:sz w:val="21"/>
                <w:szCs w:val="21"/>
                <w:lang w:val="en-US" w:eastAsia="zh-CN"/>
              </w:rPr>
              <w:t>72</w:t>
            </w:r>
          </w:p>
        </w:tc>
        <w:tc>
          <w:tcPr>
            <w:tcW w:w="2139" w:type="dxa"/>
            <w:shd w:val="clear" w:color="auto" w:fill="auto"/>
            <w:noWrap w:val="0"/>
            <w:vAlign w:val="center"/>
          </w:tcPr>
          <w:p w14:paraId="591DCCA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华文楷体" w:hAnsi="华文楷体" w:eastAsia="华文楷体" w:cs="华文楷体"/>
                <w:color w:val="auto"/>
                <w:spacing w:val="20"/>
                <w:kern w:val="1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华文楷体" w:hAnsi="华文楷体" w:eastAsia="华文楷体" w:cs="华文楷体"/>
                <w:color w:val="auto"/>
                <w:spacing w:val="20"/>
                <w:kern w:val="10"/>
                <w:sz w:val="22"/>
                <w:szCs w:val="22"/>
                <w:lang w:val="en-US" w:eastAsia="zh-CN"/>
              </w:rPr>
              <w:t>玻璃搅拌棒</w:t>
            </w:r>
          </w:p>
        </w:tc>
        <w:tc>
          <w:tcPr>
            <w:tcW w:w="2530" w:type="dxa"/>
            <w:shd w:val="clear" w:color="auto" w:fill="auto"/>
            <w:noWrap w:val="0"/>
            <w:vAlign w:val="center"/>
          </w:tcPr>
          <w:p w14:paraId="5DB447C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pacing w:val="20"/>
                <w:kern w:val="1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pacing w:val="20"/>
                <w:kern w:val="10"/>
                <w:sz w:val="22"/>
                <w:szCs w:val="22"/>
                <w:lang w:val="en-US" w:eastAsia="zh-CN"/>
              </w:rPr>
              <w:t>直径6mm，长30cm</w:t>
            </w:r>
          </w:p>
        </w:tc>
        <w:tc>
          <w:tcPr>
            <w:tcW w:w="858" w:type="dxa"/>
            <w:shd w:val="clear" w:color="auto" w:fill="auto"/>
            <w:noWrap w:val="0"/>
            <w:vAlign w:val="center"/>
          </w:tcPr>
          <w:p w14:paraId="04CCB78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pacing w:val="20"/>
                <w:kern w:val="1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20"/>
                <w:kern w:val="10"/>
                <w:sz w:val="22"/>
                <w:szCs w:val="22"/>
                <w:lang w:val="en-US" w:eastAsia="zh-CN"/>
              </w:rPr>
              <w:t>个</w:t>
            </w:r>
          </w:p>
        </w:tc>
        <w:tc>
          <w:tcPr>
            <w:tcW w:w="819" w:type="dxa"/>
            <w:shd w:val="clear" w:color="auto" w:fill="auto"/>
            <w:noWrap w:val="0"/>
            <w:vAlign w:val="center"/>
          </w:tcPr>
          <w:p w14:paraId="312EDD9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pacing w:val="20"/>
                <w:kern w:val="1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20"/>
                <w:kern w:val="10"/>
                <w:sz w:val="22"/>
                <w:szCs w:val="22"/>
                <w:lang w:val="en-US" w:eastAsia="zh-CN"/>
              </w:rPr>
              <w:t>10</w:t>
            </w:r>
          </w:p>
        </w:tc>
        <w:tc>
          <w:tcPr>
            <w:tcW w:w="1225" w:type="dxa"/>
            <w:vMerge w:val="continue"/>
            <w:tcBorders/>
            <w:noWrap w:val="0"/>
            <w:vAlign w:val="center"/>
          </w:tcPr>
          <w:p w14:paraId="55CB82F3">
            <w:pPr>
              <w:widowControl/>
              <w:jc w:val="center"/>
              <w:textAlignment w:val="top"/>
              <w:rPr>
                <w:rFonts w:hint="eastAsia" w:ascii="华文楷体" w:hAnsi="华文楷体" w:eastAsia="华文楷体" w:cs="华文楷体"/>
                <w:sz w:val="22"/>
              </w:rPr>
            </w:pPr>
          </w:p>
        </w:tc>
      </w:tr>
    </w:tbl>
    <w:p w14:paraId="503BB73B">
      <w:pPr>
        <w:rPr>
          <w:rFonts w:hint="eastAsia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1" w:fontKey="{F885A460-7A28-482D-B452-6BB3E864407B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2" w:fontKey="{0D2431EE-7969-4CF1-AED0-30F82EC73EEF}"/>
  </w:font>
  <w:font w:name="华文楷体">
    <w:panose1 w:val="02010600040101010101"/>
    <w:charset w:val="86"/>
    <w:family w:val="auto"/>
    <w:pitch w:val="default"/>
    <w:sig w:usb0="A00002BF" w:usb1="78CF7CFB" w:usb2="00000016" w:usb3="00000000" w:csb0="6006009F" w:csb1="DFD70000"/>
    <w:embedRegular r:id="rId3" w:fontKey="{1A109189-76F1-4317-AE41-7BFCD719C098}"/>
  </w:font>
  <w:font w:name="汉仪中黑 197">
    <w:altName w:val="黑体"/>
    <w:panose1 w:val="00020600040101010101"/>
    <w:charset w:val="86"/>
    <w:family w:val="auto"/>
    <w:pitch w:val="default"/>
    <w:sig w:usb0="00000000" w:usb1="00000000" w:usb2="00000016" w:usb3="00000000" w:csb0="0004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9E857CD"/>
    <w:rsid w:val="10DE6156"/>
    <w:rsid w:val="139D4FEA"/>
    <w:rsid w:val="20117F78"/>
    <w:rsid w:val="46FC0909"/>
    <w:rsid w:val="519328A7"/>
    <w:rsid w:val="63FE776F"/>
    <w:rsid w:val="68873690"/>
    <w:rsid w:val="69E857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next w:val="1"/>
    <w:qFormat/>
    <w:uiPriority w:val="0"/>
    <w:pPr>
      <w:spacing w:after="120"/>
    </w:pPr>
  </w:style>
  <w:style w:type="paragraph" w:styleId="4">
    <w:name w:val="Body Text First Indent"/>
    <w:basedOn w:val="3"/>
    <w:qFormat/>
    <w:uiPriority w:val="0"/>
    <w:pPr>
      <w:spacing w:line="360" w:lineRule="auto"/>
      <w:ind w:firstLine="420"/>
    </w:pPr>
    <w:rPr>
      <w:rFonts w:ascii="宋体" w:hAnsi="宋体"/>
      <w:sz w:val="24"/>
    </w:rPr>
  </w:style>
  <w:style w:type="character" w:customStyle="1" w:styleId="7">
    <w:name w:val="font21"/>
    <w:qFormat/>
    <w:uiPriority w:val="0"/>
    <w:rPr>
      <w:rFonts w:hint="eastAsia" w:ascii="仿宋" w:hAnsi="仿宋" w:eastAsia="仿宋" w:cs="仿宋"/>
      <w:color w:val="000000"/>
      <w:sz w:val="18"/>
      <w:szCs w:val="18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28</Words>
  <Characters>28</Characters>
  <Lines>0</Lines>
  <Paragraphs>0</Paragraphs>
  <TotalTime>10</TotalTime>
  <ScaleCrop>false</ScaleCrop>
  <LinksUpToDate>false</LinksUpToDate>
  <CharactersWithSpaces>28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2025-05-14T08:16:00Z</dcterms:created>
  <dc:creator>灿</dc:creator>
  <cp:lastModifiedBy>八月秋</cp:lastModifiedBy>
  <dcterms:modified xsi:type="dcterms:W3CDTF">2026-05-10T12:16:14Z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2052-12.1.0.25865</vt:lpwstr>
  </property>
  <property fmtid="{D5CDD505-2E9C-101B-9397-08002B2CF9AE}" pid="3" name="ICV">
    <vt:lpwstr>F30C42B548BC4FEC8014144133D0E41F_11</vt:lpwstr>
  </property>
  <property fmtid="{D5CDD505-2E9C-101B-9397-08002B2CF9AE}" pid="4" name="KSOTemplateDocerSaveRecord">
    <vt:lpwstr>eyJoZGlkIjoiMzJjZDQ2MDg0NmRkMmE4YzRiNjY2NTE5MjNiYmZjNWIiLCJ1c2VySWQiOiI4NjQyOTc1MTQifQ==</vt:lpwstr>
  </property>
</Properties>
</file>