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88341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rPr>
          <w:rFonts w:ascii="SimHei" w:hAnsi="SimHei" w:eastAsia="SimHei" w:cs="SimHei"/>
          <w:b/>
          <w:bCs/>
          <w:sz w:val="32"/>
          <w:szCs w:val="32"/>
        </w:rPr>
      </w:pPr>
      <w:r>
        <w:rPr>
          <w:rFonts w:hint="eastAsia"/>
          <w:lang w:val="en-US" w:eastAsia="zh-CN"/>
        </w:rPr>
        <w:t>采购需求</w:t>
      </w:r>
    </w:p>
    <w:tbl>
      <w:tblPr>
        <w:tblStyle w:val="5"/>
        <w:tblW w:w="83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825"/>
        <w:gridCol w:w="5262"/>
        <w:gridCol w:w="488"/>
        <w:gridCol w:w="412"/>
        <w:gridCol w:w="888"/>
      </w:tblGrid>
      <w:tr w14:paraId="32C38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87" w:type="dxa"/>
            <w:noWrap w:val="0"/>
            <w:vAlign w:val="center"/>
          </w:tcPr>
          <w:p w14:paraId="2221381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KaiTi" w:hAnsi="KaiTi" w:eastAsia="KaiTi" w:cs="KaiTi"/>
                <w:sz w:val="30"/>
                <w:szCs w:val="30"/>
              </w:rPr>
            </w:pPr>
            <w:r>
              <w:rPr>
                <w:rFonts w:hint="eastAsia" w:ascii="KaiTi" w:hAnsi="KaiTi" w:eastAsia="KaiTi" w:cs="KaiTi"/>
                <w:sz w:val="30"/>
                <w:szCs w:val="30"/>
              </w:rPr>
              <w:t>序号</w:t>
            </w:r>
          </w:p>
        </w:tc>
        <w:tc>
          <w:tcPr>
            <w:tcW w:w="825" w:type="dxa"/>
            <w:noWrap w:val="0"/>
            <w:vAlign w:val="center"/>
          </w:tcPr>
          <w:p w14:paraId="69B2EA7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KaiTi" w:hAnsi="KaiTi" w:eastAsia="KaiTi" w:cs="KaiTi"/>
                <w:sz w:val="30"/>
                <w:szCs w:val="30"/>
              </w:rPr>
            </w:pPr>
            <w:r>
              <w:rPr>
                <w:rFonts w:hint="eastAsia" w:ascii="KaiTi" w:hAnsi="KaiTi" w:eastAsia="KaiTi" w:cs="KaiTi"/>
                <w:sz w:val="30"/>
                <w:szCs w:val="30"/>
              </w:rPr>
              <w:t>货品名称</w:t>
            </w:r>
          </w:p>
        </w:tc>
        <w:tc>
          <w:tcPr>
            <w:tcW w:w="5262" w:type="dxa"/>
            <w:noWrap w:val="0"/>
            <w:vAlign w:val="center"/>
          </w:tcPr>
          <w:p w14:paraId="3DD81A4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KaiTi" w:hAnsi="KaiTi" w:eastAsia="KaiTi" w:cs="KaiTi"/>
                <w:sz w:val="30"/>
                <w:szCs w:val="30"/>
              </w:rPr>
            </w:pPr>
            <w:r>
              <w:rPr>
                <w:rFonts w:hint="eastAsia" w:ascii="KaiTi" w:hAnsi="KaiTi" w:eastAsia="KaiTi" w:cs="KaiTi"/>
                <w:sz w:val="30"/>
                <w:szCs w:val="30"/>
              </w:rPr>
              <w:t>规格及技术参数</w:t>
            </w:r>
          </w:p>
        </w:tc>
        <w:tc>
          <w:tcPr>
            <w:tcW w:w="488" w:type="dxa"/>
            <w:noWrap w:val="0"/>
            <w:vAlign w:val="center"/>
          </w:tcPr>
          <w:p w14:paraId="08FB7C6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KaiTi" w:hAnsi="KaiTi" w:eastAsia="KaiTi" w:cs="KaiTi"/>
                <w:sz w:val="30"/>
                <w:szCs w:val="30"/>
              </w:rPr>
            </w:pPr>
            <w:r>
              <w:rPr>
                <w:rFonts w:hint="eastAsia" w:ascii="KaiTi" w:hAnsi="KaiTi" w:eastAsia="KaiTi" w:cs="KaiTi"/>
                <w:sz w:val="30"/>
                <w:szCs w:val="30"/>
              </w:rPr>
              <w:t>单位</w:t>
            </w:r>
          </w:p>
        </w:tc>
        <w:tc>
          <w:tcPr>
            <w:tcW w:w="412" w:type="dxa"/>
            <w:noWrap w:val="0"/>
            <w:vAlign w:val="center"/>
          </w:tcPr>
          <w:p w14:paraId="211025E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KaiTi" w:hAnsi="KaiTi" w:eastAsia="KaiTi" w:cs="KaiTi"/>
                <w:sz w:val="30"/>
                <w:szCs w:val="30"/>
              </w:rPr>
            </w:pPr>
            <w:r>
              <w:rPr>
                <w:rFonts w:hint="eastAsia" w:ascii="KaiTi" w:hAnsi="KaiTi" w:eastAsia="KaiTi" w:cs="KaiTi"/>
                <w:sz w:val="30"/>
                <w:szCs w:val="30"/>
              </w:rPr>
              <w:t>数量</w:t>
            </w:r>
          </w:p>
        </w:tc>
        <w:tc>
          <w:tcPr>
            <w:tcW w:w="888" w:type="dxa"/>
            <w:noWrap w:val="0"/>
            <w:vAlign w:val="center"/>
          </w:tcPr>
          <w:p w14:paraId="1C907A0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KaiTi" w:hAnsi="KaiTi" w:eastAsia="KaiTi" w:cs="KaiTi"/>
              </w:rPr>
            </w:pPr>
            <w:r>
              <w:rPr>
                <w:rFonts w:hint="eastAsia" w:ascii="KaiTi" w:hAnsi="KaiTi" w:eastAsia="KaiTi" w:cs="KaiTi"/>
                <w:sz w:val="30"/>
                <w:szCs w:val="30"/>
                <w:lang w:val="en-US" w:eastAsia="zh-CN"/>
              </w:rPr>
              <w:t>预算</w:t>
            </w:r>
            <w:r>
              <w:rPr>
                <w:rFonts w:hint="eastAsia" w:ascii="KaiTi" w:hAnsi="KaiTi" w:eastAsia="KaiTi" w:cs="KaiTi"/>
                <w:sz w:val="30"/>
                <w:szCs w:val="30"/>
              </w:rPr>
              <w:t>总额</w:t>
            </w:r>
          </w:p>
          <w:p w14:paraId="3D3F0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KaiTi" w:hAnsi="KaiTi" w:eastAsia="KaiTi" w:cs="KaiTi"/>
              </w:rPr>
            </w:pPr>
            <w:r>
              <w:rPr>
                <w:rFonts w:hint="eastAsia" w:ascii="KaiTi" w:hAnsi="KaiTi" w:eastAsia="KaiTi" w:cs="KaiTi"/>
              </w:rPr>
              <w:t>(</w:t>
            </w:r>
            <w:r>
              <w:rPr>
                <w:rFonts w:hint="eastAsia" w:ascii="KaiTi" w:hAnsi="KaiTi" w:eastAsia="KaiTi" w:cs="KaiTi"/>
                <w:lang w:val="en-US" w:eastAsia="zh-CN"/>
              </w:rPr>
              <w:t>元</w:t>
            </w:r>
            <w:r>
              <w:rPr>
                <w:rFonts w:hint="eastAsia" w:ascii="KaiTi" w:hAnsi="KaiTi" w:eastAsia="KaiTi" w:cs="KaiTi"/>
              </w:rPr>
              <w:t>)</w:t>
            </w:r>
          </w:p>
        </w:tc>
      </w:tr>
      <w:tr w14:paraId="16D4F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7" w:type="dxa"/>
            <w:noWrap w:val="0"/>
            <w:vAlign w:val="center"/>
          </w:tcPr>
          <w:p w14:paraId="0EFAAAC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KaiTi" w:hAnsi="KaiTi" w:eastAsia="KaiTi" w:cs="KaiTi"/>
                <w:sz w:val="22"/>
                <w:szCs w:val="22"/>
              </w:rPr>
            </w:pPr>
            <w:r>
              <w:rPr>
                <w:rFonts w:hint="eastAsia" w:ascii="KaiTi" w:hAnsi="KaiTi" w:eastAsia="KaiTi" w:cs="KaiTi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25" w:type="dxa"/>
            <w:noWrap w:val="0"/>
            <w:vAlign w:val="center"/>
          </w:tcPr>
          <w:p w14:paraId="3C6BB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KaiTi" w:hAnsi="KaiTi" w:eastAsia="KaiTi" w:cs="KaiTi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/>
                <w:bCs/>
                <w:spacing w:val="20"/>
                <w:kern w:val="10"/>
                <w:lang w:val="en-US" w:eastAsia="zh-CN"/>
              </w:rPr>
              <w:t>职业卫生检测全流程系统</w:t>
            </w:r>
          </w:p>
        </w:tc>
        <w:tc>
          <w:tcPr>
            <w:tcW w:w="5262" w:type="dxa"/>
            <w:noWrap w:val="0"/>
            <w:vAlign w:val="center"/>
          </w:tcPr>
          <w:p w14:paraId="06C741B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一、数据可视化大屏首页模块。</w:t>
            </w:r>
          </w:p>
          <w:p w14:paraId="1C10B2D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1、实现综合统计。</w:t>
            </w:r>
          </w:p>
          <w:p w14:paraId="152F6C1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2、实现项目统计。</w:t>
            </w:r>
          </w:p>
          <w:p w14:paraId="1AD2102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3、实现设备类别统计。</w:t>
            </w:r>
          </w:p>
          <w:p w14:paraId="1A1377C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二、项目管理模块包含委托单位管理、受检单位管理、业务管理功能。</w:t>
            </w:r>
          </w:p>
          <w:p w14:paraId="774F03D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1、实现委托、受检单位基本信息录入，更新，删除功能 。</w:t>
            </w:r>
          </w:p>
          <w:p w14:paraId="549CE9A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2、实现项目信息的录入功能。</w:t>
            </w:r>
          </w:p>
          <w:p w14:paraId="75B5CE3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3、实现合同评审及附件上传功能。</w:t>
            </w:r>
          </w:p>
          <w:p w14:paraId="4FC2779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三、样品采集模块，包含现场调查、采样/检测计划、现场采样、设备入库、样品流转功能。</w:t>
            </w:r>
          </w:p>
          <w:p w14:paraId="63E434C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1、实现企业基本信息录入，修改及移动端上传及excel上传功能。</w:t>
            </w:r>
          </w:p>
          <w:p w14:paraId="3759599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2、实现劳动者工作日写实信息录入，修改，移动端上传及excel上传功能。</w:t>
            </w:r>
          </w:p>
          <w:p w14:paraId="76B4591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3、实现物料及工艺信息录入，修改，移动端上传及工艺图片绘制及上传功能。</w:t>
            </w:r>
          </w:p>
          <w:p w14:paraId="7903FC0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4、实现设备设施及测点布局情况信息录入，修改，移动端上传及布点图片绘制及上传功能。</w:t>
            </w:r>
          </w:p>
          <w:p w14:paraId="2607CFA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5、实现根据勘察调研数据自动生成现场调查报告功能。</w:t>
            </w:r>
          </w:p>
          <w:p w14:paraId="74FE1B5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6、实现现场采集数据录入，包括移动端和PC端。</w:t>
            </w:r>
          </w:p>
          <w:p w14:paraId="1B29933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7、实现陪同人签字上传功能。</w:t>
            </w:r>
          </w:p>
          <w:p w14:paraId="7A98EF1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8、实现设备出入库管理并生成相应原始记录。</w:t>
            </w:r>
          </w:p>
          <w:p w14:paraId="503E9F7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9、实现流量校准导入或录入功能并生成相应原始记录。</w:t>
            </w:r>
          </w:p>
          <w:p w14:paraId="1E25987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10、实现根据现场录入数原始记录报告自动生成功能。</w:t>
            </w:r>
          </w:p>
          <w:p w14:paraId="3D081E6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11、实现检测报告自动生成。</w:t>
            </w:r>
          </w:p>
          <w:p w14:paraId="5AEB8EA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12、实现评价报告自动生成。</w:t>
            </w:r>
          </w:p>
          <w:p w14:paraId="022CA9D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四、基础设置模块模块，包含组织机构管理、角色管理、部门管理、用户管理、检验项目管理、设备耗材管理、职业防护管理、报表模板管理、数据模板管理、个性化设置功能。</w:t>
            </w:r>
          </w:p>
          <w:p w14:paraId="658F0DD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1、实现系统设置功能。</w:t>
            </w:r>
          </w:p>
          <w:p w14:paraId="028F0BF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五、实验室模块，包含来样管理、样品分配、实验检测、粉尘检测、组分分析、耗材管理功能。</w:t>
            </w:r>
          </w:p>
          <w:p w14:paraId="2565273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1、实现样品分配及领取。</w:t>
            </w:r>
          </w:p>
          <w:p w14:paraId="6334142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2、实现实验室数据录入及execl文件数据上传功能。</w:t>
            </w:r>
          </w:p>
          <w:p w14:paraId="61A5EB8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3、实现PC-TWA、PC-STEL、LEX、LAeq、WBGT等计算并进行结果、标准判定。</w:t>
            </w:r>
          </w:p>
          <w:p w14:paraId="683766E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六、初版原始记录</w:t>
            </w:r>
          </w:p>
          <w:p w14:paraId="2B5EC3F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实现自动生成原始记录功能并支持页面微调。</w:t>
            </w:r>
          </w:p>
          <w:p w14:paraId="5042760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七、流程审批</w:t>
            </w:r>
          </w:p>
          <w:p w14:paraId="3B8C18F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实现相应报告自定义审批。</w:t>
            </w:r>
          </w:p>
          <w:p w14:paraId="711C152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八、终版原始记录</w:t>
            </w:r>
          </w:p>
          <w:p w14:paraId="37F1CD9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1、实现电子归档存储。</w:t>
            </w:r>
          </w:p>
          <w:p w14:paraId="256ECE5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2、实现相应附件上传及下载。</w:t>
            </w:r>
          </w:p>
          <w:p w14:paraId="4E84194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九、数据治理</w:t>
            </w:r>
          </w:p>
          <w:p w14:paraId="21AEE82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满足后期国、省级各平台对接接口需求。</w:t>
            </w:r>
          </w:p>
          <w:p w14:paraId="1A89C8F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十、查询统计，包含业务统计、人员统计、设备统计、签字统计功能。</w:t>
            </w:r>
          </w:p>
          <w:p w14:paraId="33A77B6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十一、移动端APP，满足PC端+移动端办公需求。</w:t>
            </w:r>
          </w:p>
          <w:p w14:paraId="629F8C4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sz w:val="15"/>
                <w:szCs w:val="18"/>
                <w:lang w:val="en-US" w:eastAsia="zh-CN"/>
              </w:rPr>
              <w:t>十二、使用期12个月，提供培训和维护，可多端登录，符合黑龙江省工作场景，提供服务器，采购单位享有数据完整所有权。</w:t>
            </w:r>
          </w:p>
        </w:tc>
        <w:tc>
          <w:tcPr>
            <w:tcW w:w="488" w:type="dxa"/>
            <w:noWrap w:val="0"/>
            <w:vAlign w:val="center"/>
          </w:tcPr>
          <w:p w14:paraId="3C554C8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KaiTi" w:hAnsi="KaiTi" w:eastAsia="KaiTi" w:cs="KaiTi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/>
                <w:lang w:val="en-US" w:eastAsia="zh-CN"/>
              </w:rPr>
              <w:t>套</w:t>
            </w:r>
          </w:p>
        </w:tc>
        <w:tc>
          <w:tcPr>
            <w:tcW w:w="412" w:type="dxa"/>
            <w:noWrap w:val="0"/>
            <w:vAlign w:val="center"/>
          </w:tcPr>
          <w:p w14:paraId="60799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KaiTi" w:hAnsi="KaiTi" w:eastAsia="KaiTi" w:cs="KaiTi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SimSu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noWrap w:val="0"/>
            <w:vAlign w:val="center"/>
          </w:tcPr>
          <w:p w14:paraId="6750AED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KaiTi" w:hAnsi="KaiTi" w:eastAsia="KaiTi" w:cs="KaiTi"/>
                <w:sz w:val="2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35000</w:t>
            </w:r>
          </w:p>
        </w:tc>
      </w:tr>
    </w:tbl>
    <w:p w14:paraId="32DBC76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FangSong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B0CA1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857CD"/>
    <w:rsid w:val="17461F8E"/>
    <w:rsid w:val="20117F78"/>
    <w:rsid w:val="23D20BA1"/>
    <w:rsid w:val="51DB585A"/>
    <w:rsid w:val="58441B24"/>
    <w:rsid w:val="69E8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spacing w:line="360" w:lineRule="auto"/>
      <w:ind w:firstLine="420"/>
    </w:pPr>
    <w:rPr>
      <w:rFonts w:ascii="SimSun" w:hAnsi="SimSun"/>
      <w:sz w:val="24"/>
    </w:rPr>
  </w:style>
  <w:style w:type="character" w:customStyle="1" w:styleId="7">
    <w:name w:val="font21"/>
    <w:qFormat/>
    <w:uiPriority w:val="0"/>
    <w:rPr>
      <w:rFonts w:hint="eastAsia" w:ascii="FangSong" w:hAnsi="FangSong" w:eastAsia="FangSong" w:cs="FangSong"/>
      <w:color w:val="000000"/>
      <w:sz w:val="18"/>
      <w:szCs w:val="18"/>
      <w:u w:val="none"/>
    </w:rPr>
  </w:style>
  <w:style w:type="character" w:customStyle="1" w:styleId="8">
    <w:name w:val="font31"/>
    <w:basedOn w:val="6"/>
    <w:qFormat/>
    <w:uiPriority w:val="0"/>
    <w:rPr>
      <w:rFonts w:ascii="Cambria Math" w:hAnsi="Cambria Math" w:eastAsia="Cambria Math" w:cs="Cambria Math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155</Characters>
  <Lines>0</Lines>
  <Paragraphs>0</Paragraphs>
  <TotalTime>5</TotalTime>
  <ScaleCrop>false</ScaleCrop>
  <LinksUpToDate>false</LinksUpToDate>
  <CharactersWithSpaces>155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2025-05-14T08:16:00Z</dcterms:created>
  <dc:creator>灿</dc:creator>
  <cp:lastModifiedBy>赵宇</cp:lastModifiedBy>
  <dcterms:modified xsi:type="dcterms:W3CDTF">2026-07-05T23:51:51Z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F30C42B548BC4FEC8014144133D0E41F_11</vt:lpwstr>
  </property>
  <property fmtid="{D5CDD505-2E9C-101B-9397-08002B2CF9AE}" pid="4" name="KSOTemplateDocerSaveRecord">
    <vt:lpwstr>eyJoZGlkIjoiZjlhYTYwNTVjODlhZWZmYzM5MzA4NTRkMmQwNTM4NDMiLCJ1c2VySWQiOiIzNTgyMTA3ODAifQ==</vt:lpwstr>
  </property>
</Properties>
</file>