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084574">
      <w:pPr>
        <w:pStyle w:val="4"/>
        <w:jc w:val="center"/>
      </w:pPr>
      <w:r>
        <w:rPr>
          <w:rFonts w:hint="eastAsia"/>
        </w:rPr>
        <w:t>采购需求</w:t>
      </w:r>
    </w:p>
    <w:p w14:paraId="051D3E98"/>
    <w:p w14:paraId="5E08699D">
      <w:pPr>
        <w:spacing w:line="312" w:lineRule="auto"/>
        <w:rPr>
          <w:rFonts w:ascii="黑体" w:hAnsi="黑体" w:eastAsia="黑体" w:cs="黑体"/>
          <w:b/>
          <w:bCs/>
          <w:sz w:val="32"/>
          <w:szCs w:val="32"/>
        </w:rPr>
      </w:pPr>
    </w:p>
    <w:tbl>
      <w:tblPr>
        <w:tblStyle w:val="7"/>
        <w:tblW w:w="80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1719"/>
        <w:gridCol w:w="2844"/>
        <w:gridCol w:w="964"/>
        <w:gridCol w:w="900"/>
        <w:gridCol w:w="1144"/>
      </w:tblGrid>
      <w:tr w14:paraId="0C6F1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" w:type="dxa"/>
            <w:vAlign w:val="center"/>
          </w:tcPr>
          <w:p w14:paraId="596F6A97">
            <w:pPr>
              <w:pStyle w:val="3"/>
              <w:rPr>
                <w:rFonts w:hint="eastAsia" w:ascii="仿宋_GB2312" w:hAnsi="华文楷体" w:eastAsia="仿宋_GB2312" w:cs="华文楷体"/>
                <w:szCs w:val="21"/>
              </w:rPr>
            </w:pPr>
            <w:r>
              <w:rPr>
                <w:rFonts w:hint="eastAsia" w:ascii="仿宋_GB2312" w:hAnsi="华文楷体" w:eastAsia="仿宋_GB2312" w:cs="华文楷体"/>
                <w:szCs w:val="21"/>
              </w:rPr>
              <w:t>序号</w:t>
            </w:r>
          </w:p>
        </w:tc>
        <w:tc>
          <w:tcPr>
            <w:tcW w:w="1719" w:type="dxa"/>
            <w:vAlign w:val="center"/>
          </w:tcPr>
          <w:p w14:paraId="4FE6EE4C">
            <w:pPr>
              <w:pStyle w:val="3"/>
              <w:jc w:val="center"/>
              <w:rPr>
                <w:rFonts w:hint="eastAsia" w:ascii="仿宋_GB2312" w:hAnsi="华文楷体" w:eastAsia="仿宋_GB2312" w:cs="华文楷体"/>
                <w:szCs w:val="21"/>
              </w:rPr>
            </w:pPr>
            <w:r>
              <w:rPr>
                <w:rFonts w:hint="eastAsia" w:ascii="仿宋_GB2312" w:hAnsi="华文楷体" w:eastAsia="仿宋_GB2312" w:cs="华文楷体"/>
                <w:szCs w:val="21"/>
              </w:rPr>
              <w:t>货品名称</w:t>
            </w:r>
          </w:p>
        </w:tc>
        <w:tc>
          <w:tcPr>
            <w:tcW w:w="2844" w:type="dxa"/>
            <w:vAlign w:val="center"/>
          </w:tcPr>
          <w:p w14:paraId="18ABC0F8">
            <w:pPr>
              <w:pStyle w:val="3"/>
              <w:jc w:val="center"/>
              <w:rPr>
                <w:rFonts w:hint="eastAsia" w:ascii="仿宋_GB2312" w:hAnsi="华文楷体" w:eastAsia="仿宋_GB2312" w:cs="华文楷体"/>
                <w:szCs w:val="21"/>
              </w:rPr>
            </w:pPr>
            <w:r>
              <w:rPr>
                <w:rFonts w:hint="eastAsia" w:ascii="仿宋_GB2312" w:hAnsi="华文楷体" w:eastAsia="仿宋_GB2312" w:cs="华文楷体"/>
                <w:szCs w:val="21"/>
              </w:rPr>
              <w:t>规格及技术参数</w:t>
            </w:r>
          </w:p>
        </w:tc>
        <w:tc>
          <w:tcPr>
            <w:tcW w:w="964" w:type="dxa"/>
            <w:vAlign w:val="center"/>
          </w:tcPr>
          <w:p w14:paraId="3BE84F4D">
            <w:pPr>
              <w:pStyle w:val="3"/>
              <w:jc w:val="center"/>
              <w:rPr>
                <w:rFonts w:hint="eastAsia" w:ascii="仿宋_GB2312" w:hAnsi="华文楷体" w:eastAsia="仿宋_GB2312" w:cs="华文楷体"/>
                <w:szCs w:val="21"/>
              </w:rPr>
            </w:pPr>
            <w:r>
              <w:rPr>
                <w:rFonts w:hint="eastAsia" w:ascii="仿宋_GB2312" w:hAnsi="华文楷体" w:eastAsia="仿宋_GB2312" w:cs="华文楷体"/>
                <w:szCs w:val="21"/>
              </w:rPr>
              <w:t>单位</w:t>
            </w:r>
          </w:p>
        </w:tc>
        <w:tc>
          <w:tcPr>
            <w:tcW w:w="900" w:type="dxa"/>
            <w:vAlign w:val="center"/>
          </w:tcPr>
          <w:p w14:paraId="1B631DD2">
            <w:pPr>
              <w:pStyle w:val="3"/>
              <w:jc w:val="center"/>
              <w:rPr>
                <w:rFonts w:hint="eastAsia" w:ascii="仿宋_GB2312" w:hAnsi="华文楷体" w:eastAsia="仿宋_GB2312" w:cs="华文楷体"/>
                <w:szCs w:val="21"/>
              </w:rPr>
            </w:pPr>
            <w:r>
              <w:rPr>
                <w:rFonts w:hint="eastAsia" w:ascii="仿宋_GB2312" w:hAnsi="华文楷体" w:eastAsia="仿宋_GB2312" w:cs="华文楷体"/>
                <w:szCs w:val="21"/>
              </w:rPr>
              <w:t>数量</w:t>
            </w:r>
          </w:p>
        </w:tc>
        <w:tc>
          <w:tcPr>
            <w:tcW w:w="1144" w:type="dxa"/>
            <w:vAlign w:val="center"/>
          </w:tcPr>
          <w:p w14:paraId="1EE54AFF">
            <w:pPr>
              <w:pStyle w:val="3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hAnsi="华文楷体" w:eastAsia="仿宋_GB2312" w:cs="华文楷体"/>
                <w:szCs w:val="21"/>
              </w:rPr>
              <w:t>预算总额</w:t>
            </w:r>
          </w:p>
          <w:p w14:paraId="79310E97">
            <w:pPr>
              <w:jc w:val="center"/>
              <w:rPr>
                <w:rFonts w:hint="eastAsia" w:ascii="仿宋_GB2312" w:eastAsia="仿宋_GB2312" w:hAnsiTheme="minorEastAsia" w:cstheme="minorEastAsia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(元)</w:t>
            </w:r>
          </w:p>
        </w:tc>
      </w:tr>
      <w:tr w14:paraId="6239A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vAlign w:val="center"/>
          </w:tcPr>
          <w:p w14:paraId="2566B426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719" w:type="dxa"/>
            <w:vAlign w:val="center"/>
          </w:tcPr>
          <w:p w14:paraId="2F4FFFD5"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尿素标准品</w:t>
            </w:r>
          </w:p>
        </w:tc>
        <w:tc>
          <w:tcPr>
            <w:tcW w:w="2844" w:type="dxa"/>
            <w:vAlign w:val="center"/>
          </w:tcPr>
          <w:p w14:paraId="5E40176D"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纯度≥ 99.80%；2g/瓶</w:t>
            </w:r>
          </w:p>
        </w:tc>
        <w:tc>
          <w:tcPr>
            <w:tcW w:w="964" w:type="dxa"/>
            <w:vAlign w:val="center"/>
          </w:tcPr>
          <w:p w14:paraId="31645A7E"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瓶</w:t>
            </w:r>
          </w:p>
        </w:tc>
        <w:tc>
          <w:tcPr>
            <w:tcW w:w="900" w:type="dxa"/>
            <w:vAlign w:val="center"/>
          </w:tcPr>
          <w:p w14:paraId="35568702"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</w:t>
            </w:r>
          </w:p>
        </w:tc>
        <w:tc>
          <w:tcPr>
            <w:tcW w:w="1144" w:type="dxa"/>
            <w:vMerge w:val="restart"/>
            <w:vAlign w:val="center"/>
          </w:tcPr>
          <w:p w14:paraId="6722CACA">
            <w:pPr>
              <w:widowControl/>
              <w:jc w:val="center"/>
              <w:textAlignment w:val="center"/>
              <w:rPr>
                <w:rFonts w:hint="eastAsia" w:ascii="仿宋_GB2312" w:hAnsi="华文楷体" w:eastAsia="仿宋_GB2312" w:cs="华文楷体"/>
                <w:szCs w:val="21"/>
              </w:rPr>
            </w:pPr>
            <w:r>
              <w:rPr>
                <w:rFonts w:hint="eastAsia" w:ascii="仿宋_GB2312" w:eastAsia="仿宋_GB2312"/>
                <w:b/>
                <w:color w:val="000000"/>
                <w:szCs w:val="21"/>
              </w:rPr>
              <w:t>33830</w:t>
            </w:r>
          </w:p>
        </w:tc>
      </w:tr>
      <w:tr w14:paraId="55545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vAlign w:val="center"/>
          </w:tcPr>
          <w:p w14:paraId="3A8CD605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19" w:type="dxa"/>
            <w:vAlign w:val="center"/>
          </w:tcPr>
          <w:p w14:paraId="2429E142"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尿素质控品</w:t>
            </w:r>
          </w:p>
        </w:tc>
        <w:tc>
          <w:tcPr>
            <w:tcW w:w="2844" w:type="dxa"/>
            <w:vAlign w:val="center"/>
          </w:tcPr>
          <w:p w14:paraId="34B6AE0F"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适用于GB/T 18204.2-2025，30mL，24.0mg/L</w:t>
            </w:r>
          </w:p>
        </w:tc>
        <w:tc>
          <w:tcPr>
            <w:tcW w:w="964" w:type="dxa"/>
            <w:vAlign w:val="center"/>
          </w:tcPr>
          <w:p w14:paraId="3823ABC8"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瓶</w:t>
            </w:r>
          </w:p>
        </w:tc>
        <w:tc>
          <w:tcPr>
            <w:tcW w:w="900" w:type="dxa"/>
            <w:vAlign w:val="center"/>
          </w:tcPr>
          <w:p w14:paraId="57D1BA72"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</w:t>
            </w:r>
          </w:p>
        </w:tc>
        <w:tc>
          <w:tcPr>
            <w:tcW w:w="1144" w:type="dxa"/>
            <w:vMerge w:val="continue"/>
            <w:vAlign w:val="center"/>
          </w:tcPr>
          <w:p w14:paraId="068FB3B9">
            <w:pPr>
              <w:widowControl/>
              <w:jc w:val="center"/>
              <w:textAlignment w:val="top"/>
              <w:rPr>
                <w:rFonts w:hint="eastAsia" w:ascii="仿宋_GB2312" w:hAnsi="华文楷体" w:eastAsia="仿宋_GB2312" w:cs="华文楷体"/>
                <w:szCs w:val="21"/>
              </w:rPr>
            </w:pPr>
          </w:p>
        </w:tc>
      </w:tr>
      <w:tr w14:paraId="68DF9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vAlign w:val="center"/>
          </w:tcPr>
          <w:p w14:paraId="3A3873C0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719" w:type="dxa"/>
            <w:vAlign w:val="center"/>
          </w:tcPr>
          <w:p w14:paraId="067BD844"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游泳池水中尿素质控样品</w:t>
            </w:r>
          </w:p>
        </w:tc>
        <w:tc>
          <w:tcPr>
            <w:tcW w:w="2844" w:type="dxa"/>
            <w:vAlign w:val="center"/>
          </w:tcPr>
          <w:p w14:paraId="3F4D2710"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适用于GB/T 18204.2-2025，30mL，24.0mg/L</w:t>
            </w:r>
          </w:p>
        </w:tc>
        <w:tc>
          <w:tcPr>
            <w:tcW w:w="964" w:type="dxa"/>
            <w:vAlign w:val="center"/>
          </w:tcPr>
          <w:p w14:paraId="0C78D532"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瓶</w:t>
            </w:r>
          </w:p>
        </w:tc>
        <w:tc>
          <w:tcPr>
            <w:tcW w:w="900" w:type="dxa"/>
            <w:vAlign w:val="center"/>
          </w:tcPr>
          <w:p w14:paraId="0833BC84"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</w:t>
            </w:r>
          </w:p>
        </w:tc>
        <w:tc>
          <w:tcPr>
            <w:tcW w:w="1144" w:type="dxa"/>
            <w:vMerge w:val="continue"/>
            <w:vAlign w:val="center"/>
          </w:tcPr>
          <w:p w14:paraId="0837DE04">
            <w:pPr>
              <w:widowControl/>
              <w:jc w:val="center"/>
              <w:textAlignment w:val="center"/>
              <w:rPr>
                <w:rFonts w:hint="eastAsia" w:ascii="仿宋_GB2312" w:hAnsi="华文楷体" w:eastAsia="仿宋_GB2312" w:cs="华文楷体"/>
                <w:szCs w:val="21"/>
              </w:rPr>
            </w:pPr>
          </w:p>
        </w:tc>
      </w:tr>
      <w:tr w14:paraId="4468A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vAlign w:val="center"/>
          </w:tcPr>
          <w:p w14:paraId="6912DA31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_GB2312" w:hAnsi="仿宋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719" w:type="dxa"/>
            <w:vAlign w:val="center"/>
          </w:tcPr>
          <w:p w14:paraId="49B9CD3B"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二乙酰一肟</w:t>
            </w:r>
          </w:p>
        </w:tc>
        <w:tc>
          <w:tcPr>
            <w:tcW w:w="2844" w:type="dxa"/>
            <w:vAlign w:val="center"/>
          </w:tcPr>
          <w:p w14:paraId="63066823"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优级纯，25g/瓶</w:t>
            </w:r>
          </w:p>
        </w:tc>
        <w:tc>
          <w:tcPr>
            <w:tcW w:w="964" w:type="dxa"/>
            <w:vAlign w:val="center"/>
          </w:tcPr>
          <w:p w14:paraId="5C37C9F2"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瓶</w:t>
            </w:r>
          </w:p>
        </w:tc>
        <w:tc>
          <w:tcPr>
            <w:tcW w:w="900" w:type="dxa"/>
            <w:vAlign w:val="center"/>
          </w:tcPr>
          <w:p w14:paraId="22F1DB92"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</w:t>
            </w:r>
          </w:p>
        </w:tc>
        <w:tc>
          <w:tcPr>
            <w:tcW w:w="1144" w:type="dxa"/>
            <w:vMerge w:val="continue"/>
            <w:vAlign w:val="center"/>
          </w:tcPr>
          <w:p w14:paraId="39D95111">
            <w:pPr>
              <w:widowControl/>
              <w:textAlignment w:val="top"/>
              <w:rPr>
                <w:rFonts w:hint="eastAsia" w:ascii="仿宋_GB2312" w:hAnsi="华文楷体" w:eastAsia="仿宋_GB2312" w:cs="华文楷体"/>
                <w:szCs w:val="21"/>
              </w:rPr>
            </w:pPr>
          </w:p>
        </w:tc>
      </w:tr>
      <w:tr w14:paraId="7841D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vAlign w:val="center"/>
          </w:tcPr>
          <w:p w14:paraId="0201D6E3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719" w:type="dxa"/>
            <w:vAlign w:val="center"/>
          </w:tcPr>
          <w:p w14:paraId="483C893C"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 xml:space="preserve">安替比林(1,5-二甲基-2-苯-3-吡唑酮) </w:t>
            </w:r>
          </w:p>
        </w:tc>
        <w:tc>
          <w:tcPr>
            <w:tcW w:w="2844" w:type="dxa"/>
            <w:vAlign w:val="center"/>
          </w:tcPr>
          <w:p w14:paraId="48AE50BD"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优级纯 100g</w:t>
            </w:r>
          </w:p>
        </w:tc>
        <w:tc>
          <w:tcPr>
            <w:tcW w:w="964" w:type="dxa"/>
            <w:vAlign w:val="center"/>
          </w:tcPr>
          <w:p w14:paraId="207C52A2"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瓶</w:t>
            </w:r>
          </w:p>
        </w:tc>
        <w:tc>
          <w:tcPr>
            <w:tcW w:w="900" w:type="dxa"/>
            <w:vAlign w:val="center"/>
          </w:tcPr>
          <w:p w14:paraId="1443D378"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</w:t>
            </w:r>
          </w:p>
        </w:tc>
        <w:tc>
          <w:tcPr>
            <w:tcW w:w="1144" w:type="dxa"/>
            <w:vMerge w:val="continue"/>
            <w:vAlign w:val="center"/>
          </w:tcPr>
          <w:p w14:paraId="7D4FF987">
            <w:pPr>
              <w:widowControl/>
              <w:jc w:val="center"/>
              <w:textAlignment w:val="top"/>
              <w:rPr>
                <w:rFonts w:hint="eastAsia" w:ascii="仿宋_GB2312" w:hAnsi="华文楷体" w:eastAsia="仿宋_GB2312" w:cs="华文楷体"/>
                <w:szCs w:val="21"/>
              </w:rPr>
            </w:pPr>
          </w:p>
        </w:tc>
      </w:tr>
      <w:tr w14:paraId="708DC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vAlign w:val="center"/>
          </w:tcPr>
          <w:p w14:paraId="6320545E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719" w:type="dxa"/>
            <w:vAlign w:val="center"/>
          </w:tcPr>
          <w:p w14:paraId="6889D2D2"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水中高氯酸盐标准物质</w:t>
            </w:r>
          </w:p>
        </w:tc>
        <w:tc>
          <w:tcPr>
            <w:tcW w:w="2844" w:type="dxa"/>
            <w:vAlign w:val="center"/>
          </w:tcPr>
          <w:p w14:paraId="34ACD454"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1000μg/ml,50ml，编号：BW20239-1000-50</w:t>
            </w:r>
          </w:p>
        </w:tc>
        <w:tc>
          <w:tcPr>
            <w:tcW w:w="964" w:type="dxa"/>
            <w:vAlign w:val="center"/>
          </w:tcPr>
          <w:p w14:paraId="2EEE4125"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瓶</w:t>
            </w:r>
          </w:p>
        </w:tc>
        <w:tc>
          <w:tcPr>
            <w:tcW w:w="900" w:type="dxa"/>
            <w:vAlign w:val="center"/>
          </w:tcPr>
          <w:p w14:paraId="37ED6FF6"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</w:t>
            </w:r>
          </w:p>
        </w:tc>
        <w:tc>
          <w:tcPr>
            <w:tcW w:w="1144" w:type="dxa"/>
            <w:vMerge w:val="continue"/>
            <w:vAlign w:val="center"/>
          </w:tcPr>
          <w:p w14:paraId="766CE294">
            <w:pPr>
              <w:widowControl/>
              <w:jc w:val="center"/>
              <w:textAlignment w:val="top"/>
              <w:rPr>
                <w:rFonts w:hint="eastAsia" w:ascii="仿宋_GB2312" w:hAnsi="华文楷体" w:eastAsia="仿宋_GB2312" w:cs="华文楷体"/>
                <w:szCs w:val="21"/>
              </w:rPr>
            </w:pPr>
          </w:p>
        </w:tc>
      </w:tr>
      <w:tr w14:paraId="4F2DB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vAlign w:val="center"/>
          </w:tcPr>
          <w:p w14:paraId="03DFD3E5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719" w:type="dxa"/>
            <w:vAlign w:val="center"/>
          </w:tcPr>
          <w:p w14:paraId="0398C10A"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水中高氯酸盐标准物质</w:t>
            </w:r>
          </w:p>
        </w:tc>
        <w:tc>
          <w:tcPr>
            <w:tcW w:w="2844" w:type="dxa"/>
            <w:vAlign w:val="center"/>
          </w:tcPr>
          <w:p w14:paraId="21DF96B8"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100μg/ml,2ml</w:t>
            </w:r>
          </w:p>
        </w:tc>
        <w:tc>
          <w:tcPr>
            <w:tcW w:w="964" w:type="dxa"/>
            <w:vAlign w:val="center"/>
          </w:tcPr>
          <w:p w14:paraId="2E107F8B"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瓶</w:t>
            </w:r>
          </w:p>
        </w:tc>
        <w:tc>
          <w:tcPr>
            <w:tcW w:w="900" w:type="dxa"/>
            <w:vAlign w:val="center"/>
          </w:tcPr>
          <w:p w14:paraId="13BE882A"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</w:t>
            </w:r>
          </w:p>
        </w:tc>
        <w:tc>
          <w:tcPr>
            <w:tcW w:w="1144" w:type="dxa"/>
            <w:vMerge w:val="continue"/>
            <w:vAlign w:val="center"/>
          </w:tcPr>
          <w:p w14:paraId="75588541">
            <w:pPr>
              <w:widowControl/>
              <w:jc w:val="center"/>
              <w:textAlignment w:val="top"/>
              <w:rPr>
                <w:rFonts w:hint="eastAsia" w:ascii="仿宋_GB2312" w:hAnsi="华文楷体" w:eastAsia="仿宋_GB2312" w:cs="华文楷体"/>
                <w:szCs w:val="21"/>
              </w:rPr>
            </w:pPr>
          </w:p>
        </w:tc>
      </w:tr>
      <w:tr w14:paraId="3D4D5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vAlign w:val="center"/>
          </w:tcPr>
          <w:p w14:paraId="06AD3156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719" w:type="dxa"/>
            <w:vAlign w:val="center"/>
          </w:tcPr>
          <w:p w14:paraId="0F553543"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水中高氯酸盐质控样品</w:t>
            </w:r>
          </w:p>
        </w:tc>
        <w:tc>
          <w:tcPr>
            <w:tcW w:w="2844" w:type="dxa"/>
            <w:vAlign w:val="center"/>
          </w:tcPr>
          <w:p w14:paraId="56A64027"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100ml，P32631</w:t>
            </w:r>
          </w:p>
        </w:tc>
        <w:tc>
          <w:tcPr>
            <w:tcW w:w="964" w:type="dxa"/>
            <w:vAlign w:val="center"/>
          </w:tcPr>
          <w:p w14:paraId="16779FD8"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瓶</w:t>
            </w:r>
          </w:p>
        </w:tc>
        <w:tc>
          <w:tcPr>
            <w:tcW w:w="900" w:type="dxa"/>
            <w:vAlign w:val="center"/>
          </w:tcPr>
          <w:p w14:paraId="68BA43F4"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</w:t>
            </w:r>
          </w:p>
        </w:tc>
        <w:tc>
          <w:tcPr>
            <w:tcW w:w="1144" w:type="dxa"/>
            <w:vMerge w:val="continue"/>
            <w:vAlign w:val="center"/>
          </w:tcPr>
          <w:p w14:paraId="6B233DAA">
            <w:pPr>
              <w:widowControl/>
              <w:jc w:val="center"/>
              <w:textAlignment w:val="top"/>
              <w:rPr>
                <w:rFonts w:hint="eastAsia" w:ascii="仿宋_GB2312" w:hAnsi="华文楷体" w:eastAsia="仿宋_GB2312" w:cs="华文楷体"/>
                <w:szCs w:val="21"/>
              </w:rPr>
            </w:pPr>
          </w:p>
        </w:tc>
      </w:tr>
      <w:tr w14:paraId="4D9A4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vAlign w:val="center"/>
          </w:tcPr>
          <w:p w14:paraId="62A6701F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719" w:type="dxa"/>
            <w:vAlign w:val="center"/>
          </w:tcPr>
          <w:p w14:paraId="3E7454DD"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OnGuard II Ag</w:t>
            </w:r>
          </w:p>
        </w:tc>
        <w:tc>
          <w:tcPr>
            <w:tcW w:w="2844" w:type="dxa"/>
            <w:vAlign w:val="center"/>
          </w:tcPr>
          <w:p w14:paraId="57A3069A"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Ag 柱1CC， 48只/袋</w:t>
            </w:r>
          </w:p>
        </w:tc>
        <w:tc>
          <w:tcPr>
            <w:tcW w:w="964" w:type="dxa"/>
            <w:vAlign w:val="center"/>
          </w:tcPr>
          <w:p w14:paraId="2F9B8E03"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盒</w:t>
            </w:r>
          </w:p>
        </w:tc>
        <w:tc>
          <w:tcPr>
            <w:tcW w:w="900" w:type="dxa"/>
            <w:vAlign w:val="center"/>
          </w:tcPr>
          <w:p w14:paraId="1FFF2A71"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</w:t>
            </w:r>
          </w:p>
        </w:tc>
        <w:tc>
          <w:tcPr>
            <w:tcW w:w="1144" w:type="dxa"/>
            <w:vMerge w:val="continue"/>
            <w:vAlign w:val="center"/>
          </w:tcPr>
          <w:p w14:paraId="624AC639">
            <w:pPr>
              <w:widowControl/>
              <w:jc w:val="center"/>
              <w:textAlignment w:val="top"/>
              <w:rPr>
                <w:rFonts w:hint="eastAsia" w:ascii="仿宋_GB2312" w:hAnsi="华文楷体" w:eastAsia="仿宋_GB2312" w:cs="华文楷体"/>
                <w:szCs w:val="21"/>
              </w:rPr>
            </w:pPr>
          </w:p>
        </w:tc>
      </w:tr>
      <w:tr w14:paraId="6CC20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vAlign w:val="center"/>
          </w:tcPr>
          <w:p w14:paraId="5ADC2B6D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719" w:type="dxa"/>
            <w:vAlign w:val="center"/>
          </w:tcPr>
          <w:p w14:paraId="1826BCD6"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OnGuard II Na</w:t>
            </w:r>
          </w:p>
        </w:tc>
        <w:tc>
          <w:tcPr>
            <w:tcW w:w="2844" w:type="dxa"/>
            <w:vAlign w:val="center"/>
          </w:tcPr>
          <w:p w14:paraId="5835B333"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Na 柱1CC， 48只/袋</w:t>
            </w:r>
          </w:p>
        </w:tc>
        <w:tc>
          <w:tcPr>
            <w:tcW w:w="964" w:type="dxa"/>
            <w:vAlign w:val="center"/>
          </w:tcPr>
          <w:p w14:paraId="775BB13B"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盒</w:t>
            </w:r>
          </w:p>
        </w:tc>
        <w:tc>
          <w:tcPr>
            <w:tcW w:w="900" w:type="dxa"/>
            <w:vAlign w:val="center"/>
          </w:tcPr>
          <w:p w14:paraId="235208F6"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</w:t>
            </w:r>
          </w:p>
        </w:tc>
        <w:tc>
          <w:tcPr>
            <w:tcW w:w="1144" w:type="dxa"/>
            <w:vMerge w:val="continue"/>
            <w:vAlign w:val="center"/>
          </w:tcPr>
          <w:p w14:paraId="554110B6">
            <w:pPr>
              <w:widowControl/>
              <w:jc w:val="center"/>
              <w:textAlignment w:val="top"/>
              <w:rPr>
                <w:rFonts w:hint="eastAsia" w:ascii="仿宋_GB2312" w:hAnsi="华文楷体" w:eastAsia="仿宋_GB2312" w:cs="华文楷体"/>
                <w:szCs w:val="21"/>
              </w:rPr>
            </w:pPr>
          </w:p>
        </w:tc>
      </w:tr>
      <w:tr w14:paraId="16CC5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vAlign w:val="center"/>
          </w:tcPr>
          <w:p w14:paraId="33150637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719" w:type="dxa"/>
            <w:vAlign w:val="center"/>
          </w:tcPr>
          <w:p w14:paraId="6FBF4759"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OnGuard II Ba</w:t>
            </w:r>
          </w:p>
        </w:tc>
        <w:tc>
          <w:tcPr>
            <w:tcW w:w="2844" w:type="dxa"/>
            <w:vAlign w:val="center"/>
          </w:tcPr>
          <w:p w14:paraId="4DAB6938"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Ba 柱1CC， 12只/袋</w:t>
            </w:r>
          </w:p>
        </w:tc>
        <w:tc>
          <w:tcPr>
            <w:tcW w:w="964" w:type="dxa"/>
            <w:vAlign w:val="center"/>
          </w:tcPr>
          <w:p w14:paraId="49E26818"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盒</w:t>
            </w:r>
          </w:p>
        </w:tc>
        <w:tc>
          <w:tcPr>
            <w:tcW w:w="900" w:type="dxa"/>
            <w:vAlign w:val="center"/>
          </w:tcPr>
          <w:p w14:paraId="70E1DF80"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2</w:t>
            </w:r>
          </w:p>
        </w:tc>
        <w:tc>
          <w:tcPr>
            <w:tcW w:w="1144" w:type="dxa"/>
            <w:vMerge w:val="continue"/>
            <w:vAlign w:val="center"/>
          </w:tcPr>
          <w:p w14:paraId="08116385">
            <w:pPr>
              <w:widowControl/>
              <w:jc w:val="center"/>
              <w:textAlignment w:val="top"/>
              <w:rPr>
                <w:rFonts w:hint="eastAsia" w:ascii="仿宋_GB2312" w:hAnsi="华文楷体" w:eastAsia="仿宋_GB2312" w:cs="华文楷体"/>
                <w:szCs w:val="21"/>
              </w:rPr>
            </w:pPr>
          </w:p>
        </w:tc>
      </w:tr>
      <w:tr w14:paraId="5F40B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vAlign w:val="center"/>
          </w:tcPr>
          <w:p w14:paraId="1B9E0936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719" w:type="dxa"/>
            <w:vAlign w:val="center"/>
          </w:tcPr>
          <w:p w14:paraId="632E8D16"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标准样品/2种金属混标/钛锆</w:t>
            </w:r>
          </w:p>
        </w:tc>
        <w:tc>
          <w:tcPr>
            <w:tcW w:w="2844" w:type="dxa"/>
            <w:vAlign w:val="center"/>
          </w:tcPr>
          <w:p w14:paraId="5276C7EB"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1000μg/mL，50mL，</w:t>
            </w:r>
          </w:p>
        </w:tc>
        <w:tc>
          <w:tcPr>
            <w:tcW w:w="964" w:type="dxa"/>
            <w:vAlign w:val="center"/>
          </w:tcPr>
          <w:p w14:paraId="56262CE7"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瓶</w:t>
            </w:r>
          </w:p>
        </w:tc>
        <w:tc>
          <w:tcPr>
            <w:tcW w:w="900" w:type="dxa"/>
            <w:vAlign w:val="center"/>
          </w:tcPr>
          <w:p w14:paraId="569D8F0C"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</w:t>
            </w:r>
          </w:p>
        </w:tc>
        <w:tc>
          <w:tcPr>
            <w:tcW w:w="1144" w:type="dxa"/>
            <w:vMerge w:val="continue"/>
            <w:vAlign w:val="center"/>
          </w:tcPr>
          <w:p w14:paraId="787BBC14">
            <w:pPr>
              <w:widowControl/>
              <w:jc w:val="center"/>
              <w:textAlignment w:val="top"/>
              <w:rPr>
                <w:rFonts w:hint="eastAsia" w:ascii="仿宋_GB2312" w:hAnsi="华文楷体" w:eastAsia="仿宋_GB2312" w:cs="华文楷体"/>
                <w:szCs w:val="21"/>
              </w:rPr>
            </w:pPr>
          </w:p>
        </w:tc>
      </w:tr>
      <w:tr w14:paraId="583C4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vAlign w:val="center"/>
          </w:tcPr>
          <w:p w14:paraId="4331FFA0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719" w:type="dxa"/>
            <w:vAlign w:val="center"/>
          </w:tcPr>
          <w:p w14:paraId="030675FC"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锑空心阴极灯</w:t>
            </w:r>
          </w:p>
        </w:tc>
        <w:tc>
          <w:tcPr>
            <w:tcW w:w="2844" w:type="dxa"/>
            <w:vAlign w:val="center"/>
          </w:tcPr>
          <w:p w14:paraId="270BDB40"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美国PE900T型石墨炉原子吸收光谱仪专用配件</w:t>
            </w:r>
          </w:p>
        </w:tc>
        <w:tc>
          <w:tcPr>
            <w:tcW w:w="964" w:type="dxa"/>
            <w:vAlign w:val="center"/>
          </w:tcPr>
          <w:p w14:paraId="74A87F19"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个</w:t>
            </w:r>
          </w:p>
        </w:tc>
        <w:tc>
          <w:tcPr>
            <w:tcW w:w="900" w:type="dxa"/>
            <w:vAlign w:val="center"/>
          </w:tcPr>
          <w:p w14:paraId="76A08223"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</w:t>
            </w:r>
          </w:p>
        </w:tc>
        <w:tc>
          <w:tcPr>
            <w:tcW w:w="1144" w:type="dxa"/>
            <w:vMerge w:val="continue"/>
            <w:vAlign w:val="center"/>
          </w:tcPr>
          <w:p w14:paraId="588B8FCA">
            <w:pPr>
              <w:widowControl/>
              <w:jc w:val="center"/>
              <w:textAlignment w:val="top"/>
              <w:rPr>
                <w:rFonts w:hint="eastAsia" w:ascii="仿宋_GB2312" w:hAnsi="华文楷体" w:eastAsia="仿宋_GB2312" w:cs="华文楷体"/>
                <w:szCs w:val="21"/>
              </w:rPr>
            </w:pPr>
          </w:p>
        </w:tc>
      </w:tr>
      <w:tr w14:paraId="71889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vAlign w:val="center"/>
          </w:tcPr>
          <w:p w14:paraId="646DB563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719" w:type="dxa"/>
            <w:vAlign w:val="center"/>
          </w:tcPr>
          <w:p w14:paraId="2AE3953C"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冰乙酸</w:t>
            </w:r>
          </w:p>
        </w:tc>
        <w:tc>
          <w:tcPr>
            <w:tcW w:w="2844" w:type="dxa"/>
            <w:vAlign w:val="center"/>
          </w:tcPr>
          <w:p w14:paraId="327FA5AE"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优级纯 500ml</w:t>
            </w:r>
          </w:p>
        </w:tc>
        <w:tc>
          <w:tcPr>
            <w:tcW w:w="964" w:type="dxa"/>
            <w:vAlign w:val="center"/>
          </w:tcPr>
          <w:p w14:paraId="1487B0AF"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瓶</w:t>
            </w:r>
          </w:p>
        </w:tc>
        <w:tc>
          <w:tcPr>
            <w:tcW w:w="900" w:type="dxa"/>
            <w:vAlign w:val="center"/>
          </w:tcPr>
          <w:p w14:paraId="072F0A4C"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</w:t>
            </w:r>
          </w:p>
        </w:tc>
        <w:tc>
          <w:tcPr>
            <w:tcW w:w="1144" w:type="dxa"/>
            <w:vMerge w:val="continue"/>
            <w:vAlign w:val="center"/>
          </w:tcPr>
          <w:p w14:paraId="6C8889BA">
            <w:pPr>
              <w:widowControl/>
              <w:jc w:val="center"/>
              <w:textAlignment w:val="top"/>
              <w:rPr>
                <w:rFonts w:hint="eastAsia" w:ascii="仿宋_GB2312" w:hAnsi="华文楷体" w:eastAsia="仿宋_GB2312" w:cs="华文楷体"/>
                <w:szCs w:val="21"/>
              </w:rPr>
            </w:pPr>
          </w:p>
        </w:tc>
      </w:tr>
      <w:tr w14:paraId="6381D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vAlign w:val="center"/>
          </w:tcPr>
          <w:p w14:paraId="2752521F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719" w:type="dxa"/>
            <w:vAlign w:val="center"/>
          </w:tcPr>
          <w:p w14:paraId="526AABC9"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大肚吸管</w:t>
            </w:r>
          </w:p>
        </w:tc>
        <w:tc>
          <w:tcPr>
            <w:tcW w:w="2844" w:type="dxa"/>
            <w:vAlign w:val="center"/>
          </w:tcPr>
          <w:p w14:paraId="331444C2"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10ml/支；</w:t>
            </w:r>
          </w:p>
        </w:tc>
        <w:tc>
          <w:tcPr>
            <w:tcW w:w="964" w:type="dxa"/>
            <w:vAlign w:val="center"/>
          </w:tcPr>
          <w:p w14:paraId="0F1A17BC"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支</w:t>
            </w:r>
          </w:p>
        </w:tc>
        <w:tc>
          <w:tcPr>
            <w:tcW w:w="900" w:type="dxa"/>
            <w:vAlign w:val="center"/>
          </w:tcPr>
          <w:p w14:paraId="689BF6DD"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10</w:t>
            </w:r>
          </w:p>
        </w:tc>
        <w:tc>
          <w:tcPr>
            <w:tcW w:w="1144" w:type="dxa"/>
            <w:vMerge w:val="continue"/>
            <w:vAlign w:val="center"/>
          </w:tcPr>
          <w:p w14:paraId="40135A57">
            <w:pPr>
              <w:widowControl/>
              <w:jc w:val="center"/>
              <w:textAlignment w:val="top"/>
              <w:rPr>
                <w:rFonts w:hint="eastAsia" w:ascii="仿宋_GB2312" w:hAnsi="华文楷体" w:eastAsia="仿宋_GB2312" w:cs="华文楷体"/>
                <w:szCs w:val="21"/>
              </w:rPr>
            </w:pPr>
          </w:p>
        </w:tc>
      </w:tr>
      <w:tr w14:paraId="70002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vAlign w:val="center"/>
          </w:tcPr>
          <w:p w14:paraId="12EA7E35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719" w:type="dxa"/>
            <w:vAlign w:val="center"/>
          </w:tcPr>
          <w:p w14:paraId="670FFBC6"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bookmarkStart w:id="0" w:name="OLE_LINK2"/>
            <w:bookmarkStart w:id="1" w:name="OLE_LINK1"/>
            <w:r>
              <w:rPr>
                <w:rFonts w:hint="eastAsia" w:ascii="仿宋_GB2312" w:hAnsi="宋体" w:eastAsia="仿宋_GB2312" w:cs="宋体"/>
                <w:color w:val="000000"/>
                <w:szCs w:val="21"/>
              </w:rPr>
              <w:t>甲醇中米酵菌酸溶液标准物质</w:t>
            </w:r>
            <w:bookmarkEnd w:id="0"/>
            <w:bookmarkEnd w:id="1"/>
          </w:p>
        </w:tc>
        <w:tc>
          <w:tcPr>
            <w:tcW w:w="2844" w:type="dxa"/>
            <w:vAlign w:val="center"/>
          </w:tcPr>
          <w:p w14:paraId="0A1070B4"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szCs w:val="21"/>
              </w:rPr>
              <w:t>1mL , 100μg/mL</w:t>
            </w:r>
          </w:p>
        </w:tc>
        <w:tc>
          <w:tcPr>
            <w:tcW w:w="964" w:type="dxa"/>
            <w:vAlign w:val="center"/>
          </w:tcPr>
          <w:p w14:paraId="7A5F6D06"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szCs w:val="21"/>
              </w:rPr>
              <w:t>瓶</w:t>
            </w:r>
          </w:p>
        </w:tc>
        <w:tc>
          <w:tcPr>
            <w:tcW w:w="900" w:type="dxa"/>
            <w:vAlign w:val="center"/>
          </w:tcPr>
          <w:p w14:paraId="58F35BAE"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szCs w:val="21"/>
              </w:rPr>
              <w:t>2</w:t>
            </w:r>
          </w:p>
        </w:tc>
        <w:tc>
          <w:tcPr>
            <w:tcW w:w="1144" w:type="dxa"/>
            <w:vMerge w:val="continue"/>
            <w:vAlign w:val="center"/>
          </w:tcPr>
          <w:p w14:paraId="6361549D">
            <w:pPr>
              <w:widowControl/>
              <w:jc w:val="center"/>
              <w:textAlignment w:val="top"/>
              <w:rPr>
                <w:rFonts w:hint="eastAsia" w:ascii="仿宋_GB2312" w:hAnsi="华文楷体" w:eastAsia="仿宋_GB2312" w:cs="华文楷体"/>
                <w:szCs w:val="21"/>
              </w:rPr>
            </w:pPr>
          </w:p>
        </w:tc>
      </w:tr>
      <w:tr w14:paraId="0F5BD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vAlign w:val="center"/>
          </w:tcPr>
          <w:p w14:paraId="2B07751C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719" w:type="dxa"/>
            <w:vAlign w:val="center"/>
          </w:tcPr>
          <w:p w14:paraId="1B2AD8ED"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szCs w:val="21"/>
              </w:rPr>
              <w:t>动物血清中米酵菌酸质控样</w:t>
            </w:r>
          </w:p>
        </w:tc>
        <w:tc>
          <w:tcPr>
            <w:tcW w:w="2844" w:type="dxa"/>
            <w:vAlign w:val="center"/>
          </w:tcPr>
          <w:p w14:paraId="5EE2D21E"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szCs w:val="21"/>
              </w:rPr>
              <w:t>10ml/瓶</w:t>
            </w:r>
          </w:p>
        </w:tc>
        <w:tc>
          <w:tcPr>
            <w:tcW w:w="964" w:type="dxa"/>
            <w:vAlign w:val="center"/>
          </w:tcPr>
          <w:p w14:paraId="191D1495"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szCs w:val="21"/>
              </w:rPr>
              <w:t>瓶</w:t>
            </w:r>
          </w:p>
        </w:tc>
        <w:tc>
          <w:tcPr>
            <w:tcW w:w="900" w:type="dxa"/>
            <w:vAlign w:val="center"/>
          </w:tcPr>
          <w:p w14:paraId="02ABABC0"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szCs w:val="21"/>
              </w:rPr>
              <w:t>1</w:t>
            </w:r>
          </w:p>
        </w:tc>
        <w:tc>
          <w:tcPr>
            <w:tcW w:w="1144" w:type="dxa"/>
            <w:vMerge w:val="continue"/>
            <w:vAlign w:val="center"/>
          </w:tcPr>
          <w:p w14:paraId="3754731D">
            <w:pPr>
              <w:widowControl/>
              <w:jc w:val="center"/>
              <w:textAlignment w:val="top"/>
              <w:rPr>
                <w:rFonts w:hint="eastAsia" w:ascii="仿宋_GB2312" w:hAnsi="华文楷体" w:eastAsia="仿宋_GB2312" w:cs="华文楷体"/>
                <w:szCs w:val="21"/>
              </w:rPr>
            </w:pPr>
          </w:p>
        </w:tc>
      </w:tr>
      <w:tr w14:paraId="1FC2F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vAlign w:val="center"/>
          </w:tcPr>
          <w:p w14:paraId="492B55FF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719" w:type="dxa"/>
            <w:vAlign w:val="center"/>
          </w:tcPr>
          <w:p w14:paraId="58161B0F"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szCs w:val="21"/>
              </w:rPr>
              <w:t>动物血清中米酵菌酸质控样（阴性）</w:t>
            </w:r>
          </w:p>
        </w:tc>
        <w:tc>
          <w:tcPr>
            <w:tcW w:w="2844" w:type="dxa"/>
            <w:vAlign w:val="center"/>
          </w:tcPr>
          <w:p w14:paraId="49C2A1A3"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szCs w:val="21"/>
              </w:rPr>
              <w:t>10ml/瓶</w:t>
            </w:r>
          </w:p>
        </w:tc>
        <w:tc>
          <w:tcPr>
            <w:tcW w:w="964" w:type="dxa"/>
            <w:vAlign w:val="center"/>
          </w:tcPr>
          <w:p w14:paraId="573F3225"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szCs w:val="21"/>
              </w:rPr>
              <w:t>瓶</w:t>
            </w:r>
          </w:p>
        </w:tc>
        <w:tc>
          <w:tcPr>
            <w:tcW w:w="900" w:type="dxa"/>
            <w:vAlign w:val="center"/>
          </w:tcPr>
          <w:p w14:paraId="1ED5E074"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szCs w:val="21"/>
              </w:rPr>
              <w:t>1</w:t>
            </w:r>
          </w:p>
        </w:tc>
        <w:tc>
          <w:tcPr>
            <w:tcW w:w="1144" w:type="dxa"/>
            <w:vMerge w:val="continue"/>
            <w:vAlign w:val="center"/>
          </w:tcPr>
          <w:p w14:paraId="1B7A871B">
            <w:pPr>
              <w:widowControl/>
              <w:jc w:val="center"/>
              <w:textAlignment w:val="top"/>
              <w:rPr>
                <w:rFonts w:hint="eastAsia" w:ascii="仿宋_GB2312" w:hAnsi="华文楷体" w:eastAsia="仿宋_GB2312" w:cs="华文楷体"/>
                <w:szCs w:val="21"/>
              </w:rPr>
            </w:pPr>
          </w:p>
        </w:tc>
      </w:tr>
      <w:tr w14:paraId="4134B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vAlign w:val="center"/>
          </w:tcPr>
          <w:p w14:paraId="34877509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719" w:type="dxa"/>
            <w:vAlign w:val="center"/>
          </w:tcPr>
          <w:p w14:paraId="085D9C88"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szCs w:val="21"/>
              </w:rPr>
              <w:t>标准样品/水中砷/介质:硝酸</w:t>
            </w:r>
          </w:p>
        </w:tc>
        <w:tc>
          <w:tcPr>
            <w:tcW w:w="2844" w:type="dxa"/>
            <w:vAlign w:val="center"/>
          </w:tcPr>
          <w:p w14:paraId="7251480E"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szCs w:val="21"/>
              </w:rPr>
              <w:t>10mg/L，50mL</w:t>
            </w:r>
          </w:p>
        </w:tc>
        <w:tc>
          <w:tcPr>
            <w:tcW w:w="964" w:type="dxa"/>
            <w:vAlign w:val="center"/>
          </w:tcPr>
          <w:p w14:paraId="2412182F"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szCs w:val="21"/>
              </w:rPr>
              <w:t>瓶</w:t>
            </w:r>
          </w:p>
        </w:tc>
        <w:tc>
          <w:tcPr>
            <w:tcW w:w="900" w:type="dxa"/>
            <w:vAlign w:val="center"/>
          </w:tcPr>
          <w:p w14:paraId="6BD522BD"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szCs w:val="21"/>
              </w:rPr>
              <w:t>1</w:t>
            </w:r>
          </w:p>
        </w:tc>
        <w:tc>
          <w:tcPr>
            <w:tcW w:w="1144" w:type="dxa"/>
            <w:vMerge w:val="continue"/>
            <w:vAlign w:val="center"/>
          </w:tcPr>
          <w:p w14:paraId="4A176E88">
            <w:pPr>
              <w:widowControl/>
              <w:jc w:val="center"/>
              <w:textAlignment w:val="top"/>
              <w:rPr>
                <w:rFonts w:hint="eastAsia" w:ascii="仿宋_GB2312" w:hAnsi="华文楷体" w:eastAsia="仿宋_GB2312" w:cs="华文楷体"/>
                <w:szCs w:val="21"/>
              </w:rPr>
            </w:pPr>
          </w:p>
        </w:tc>
      </w:tr>
      <w:tr w14:paraId="2E0C8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vAlign w:val="center"/>
          </w:tcPr>
          <w:p w14:paraId="6CF017A8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719" w:type="dxa"/>
            <w:vAlign w:val="center"/>
          </w:tcPr>
          <w:p w14:paraId="5C4DD36A"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szCs w:val="21"/>
              </w:rPr>
              <w:t>标准样品/水中砷/介质:硝酸</w:t>
            </w:r>
          </w:p>
        </w:tc>
        <w:tc>
          <w:tcPr>
            <w:tcW w:w="2844" w:type="dxa"/>
            <w:vAlign w:val="center"/>
          </w:tcPr>
          <w:p w14:paraId="62CB4702"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szCs w:val="21"/>
              </w:rPr>
              <w:t>10mg/L，50mL</w:t>
            </w:r>
          </w:p>
        </w:tc>
        <w:tc>
          <w:tcPr>
            <w:tcW w:w="964" w:type="dxa"/>
            <w:vAlign w:val="center"/>
          </w:tcPr>
          <w:p w14:paraId="6FA7F3F5"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szCs w:val="21"/>
              </w:rPr>
              <w:t>瓶</w:t>
            </w:r>
          </w:p>
        </w:tc>
        <w:tc>
          <w:tcPr>
            <w:tcW w:w="900" w:type="dxa"/>
            <w:vAlign w:val="center"/>
          </w:tcPr>
          <w:p w14:paraId="34D60C4A"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szCs w:val="21"/>
              </w:rPr>
              <w:t>1</w:t>
            </w:r>
          </w:p>
        </w:tc>
        <w:tc>
          <w:tcPr>
            <w:tcW w:w="1144" w:type="dxa"/>
            <w:vMerge w:val="continue"/>
            <w:vAlign w:val="center"/>
          </w:tcPr>
          <w:p w14:paraId="64A120C0">
            <w:pPr>
              <w:widowControl/>
              <w:jc w:val="center"/>
              <w:textAlignment w:val="top"/>
              <w:rPr>
                <w:rFonts w:hint="eastAsia" w:ascii="仿宋_GB2312" w:hAnsi="华文楷体" w:eastAsia="仿宋_GB2312" w:cs="华文楷体"/>
                <w:szCs w:val="21"/>
              </w:rPr>
            </w:pPr>
          </w:p>
        </w:tc>
      </w:tr>
      <w:tr w14:paraId="0EC00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vAlign w:val="center"/>
          </w:tcPr>
          <w:p w14:paraId="12B55775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719" w:type="dxa"/>
            <w:vAlign w:val="center"/>
          </w:tcPr>
          <w:p w14:paraId="79A04A66"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szCs w:val="21"/>
              </w:rPr>
              <w:t>标准溶液/水中砷/介质:1%硝酸</w:t>
            </w:r>
          </w:p>
        </w:tc>
        <w:tc>
          <w:tcPr>
            <w:tcW w:w="2844" w:type="dxa"/>
            <w:vAlign w:val="center"/>
          </w:tcPr>
          <w:p w14:paraId="148C8D36"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szCs w:val="21"/>
              </w:rPr>
              <w:t>100mg/L，20mL</w:t>
            </w:r>
          </w:p>
        </w:tc>
        <w:tc>
          <w:tcPr>
            <w:tcW w:w="964" w:type="dxa"/>
            <w:vAlign w:val="center"/>
          </w:tcPr>
          <w:p w14:paraId="3A5185CD"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szCs w:val="21"/>
              </w:rPr>
              <w:t>瓶</w:t>
            </w:r>
          </w:p>
        </w:tc>
        <w:tc>
          <w:tcPr>
            <w:tcW w:w="900" w:type="dxa"/>
            <w:vAlign w:val="center"/>
          </w:tcPr>
          <w:p w14:paraId="249D4942"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szCs w:val="21"/>
              </w:rPr>
              <w:t>1</w:t>
            </w:r>
          </w:p>
        </w:tc>
        <w:tc>
          <w:tcPr>
            <w:tcW w:w="1144" w:type="dxa"/>
            <w:vMerge w:val="continue"/>
            <w:vAlign w:val="center"/>
          </w:tcPr>
          <w:p w14:paraId="04B47653">
            <w:pPr>
              <w:widowControl/>
              <w:jc w:val="center"/>
              <w:textAlignment w:val="top"/>
              <w:rPr>
                <w:rFonts w:hint="eastAsia" w:ascii="仿宋_GB2312" w:hAnsi="华文楷体" w:eastAsia="仿宋_GB2312" w:cs="华文楷体"/>
                <w:szCs w:val="21"/>
              </w:rPr>
            </w:pPr>
          </w:p>
        </w:tc>
      </w:tr>
      <w:tr w14:paraId="255B0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vAlign w:val="center"/>
          </w:tcPr>
          <w:p w14:paraId="64FCDD9D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719" w:type="dxa"/>
            <w:vAlign w:val="center"/>
          </w:tcPr>
          <w:p w14:paraId="123FFB5A"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szCs w:val="21"/>
              </w:rPr>
              <w:t>人造尿液中砷分析质控样品</w:t>
            </w:r>
          </w:p>
        </w:tc>
        <w:tc>
          <w:tcPr>
            <w:tcW w:w="2844" w:type="dxa"/>
            <w:vAlign w:val="center"/>
          </w:tcPr>
          <w:p w14:paraId="3780A2E0"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szCs w:val="21"/>
              </w:rPr>
              <w:t>10ml/瓶</w:t>
            </w:r>
          </w:p>
        </w:tc>
        <w:tc>
          <w:tcPr>
            <w:tcW w:w="964" w:type="dxa"/>
            <w:vAlign w:val="center"/>
          </w:tcPr>
          <w:p w14:paraId="05ED7C40"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szCs w:val="21"/>
              </w:rPr>
              <w:t>瓶</w:t>
            </w:r>
          </w:p>
        </w:tc>
        <w:tc>
          <w:tcPr>
            <w:tcW w:w="900" w:type="dxa"/>
            <w:vAlign w:val="center"/>
          </w:tcPr>
          <w:p w14:paraId="5406DB1C">
            <w:pPr>
              <w:jc w:val="center"/>
              <w:rPr>
                <w:rFonts w:hint="eastAsia"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szCs w:val="21"/>
              </w:rPr>
              <w:t>1</w:t>
            </w:r>
          </w:p>
        </w:tc>
        <w:tc>
          <w:tcPr>
            <w:tcW w:w="1144" w:type="dxa"/>
            <w:vMerge w:val="continue"/>
            <w:vAlign w:val="center"/>
          </w:tcPr>
          <w:p w14:paraId="7868D2CB">
            <w:pPr>
              <w:widowControl/>
              <w:jc w:val="center"/>
              <w:textAlignment w:val="top"/>
              <w:rPr>
                <w:rFonts w:hint="eastAsia" w:ascii="仿宋_GB2312" w:hAnsi="华文楷体" w:eastAsia="仿宋_GB2312" w:cs="华文楷体"/>
                <w:szCs w:val="21"/>
              </w:rPr>
            </w:pPr>
          </w:p>
        </w:tc>
      </w:tr>
    </w:tbl>
    <w:p w14:paraId="22C60BDA">
      <w:pPr>
        <w:rPr>
          <w:rFonts w:hint="eastAsia"/>
        </w:rPr>
      </w:pPr>
    </w:p>
    <w:p w14:paraId="1019C765">
      <w:pPr>
        <w:pStyle w:val="2"/>
      </w:pPr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楷体">
    <w:altName w:val="汉仪中黑 197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汉仪中黑 197">
    <w:panose1 w:val="00020600040101010101"/>
    <w:charset w:val="86"/>
    <w:family w:val="auto"/>
    <w:pitch w:val="default"/>
    <w:sig w:usb0="A00002BF" w:usb1="18EF7CFA" w:usb2="00000016" w:usb3="00000000" w:csb0="0004009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69E857CD"/>
    <w:rsid w:val="00361CAF"/>
    <w:rsid w:val="00631D97"/>
    <w:rsid w:val="008A44C9"/>
    <w:rsid w:val="00937E28"/>
    <w:rsid w:val="20117F78"/>
    <w:rsid w:val="59314C79"/>
    <w:rsid w:val="69E85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spacing w:line="360" w:lineRule="auto"/>
      <w:ind w:firstLine="420"/>
    </w:pPr>
    <w:rPr>
      <w:rFonts w:ascii="宋体" w:hAnsi="宋体"/>
      <w:sz w:val="24"/>
    </w:r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paragraph" w:styleId="5">
    <w:name w:val="footer"/>
    <w:basedOn w:val="1"/>
    <w:link w:val="1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font21"/>
    <w:qFormat/>
    <w:uiPriority w:val="0"/>
    <w:rPr>
      <w:rFonts w:hint="eastAsia" w:ascii="仿宋" w:hAnsi="仿宋" w:eastAsia="仿宋" w:cs="仿宋"/>
      <w:color w:val="000000"/>
      <w:sz w:val="18"/>
      <w:szCs w:val="18"/>
      <w:u w:val="none"/>
    </w:rPr>
  </w:style>
  <w:style w:type="character" w:customStyle="1" w:styleId="10">
    <w:name w:val="页眉 Char"/>
    <w:basedOn w:val="8"/>
    <w:link w:val="6"/>
    <w:uiPriority w:val="0"/>
    <w:rPr>
      <w:kern w:val="2"/>
      <w:sz w:val="18"/>
      <w:szCs w:val="18"/>
    </w:rPr>
  </w:style>
  <w:style w:type="character" w:customStyle="1" w:styleId="11">
    <w:name w:val="页脚 Char"/>
    <w:basedOn w:val="8"/>
    <w:link w:val="5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430</Words>
  <Characters>688</Characters>
  <Lines>6</Lines>
  <Paragraphs>1</Paragraphs>
  <TotalTime>7</TotalTime>
  <ScaleCrop>false</ScaleCrop>
  <LinksUpToDate>false</LinksUpToDate>
  <CharactersWithSpaces>708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2025-05-14T08:16:00Z</dcterms:created>
  <dc:creator>灿</dc:creator>
  <cp:lastModifiedBy>微信用户</cp:lastModifiedBy>
  <dcterms:modified xsi:type="dcterms:W3CDTF">2026-07-08T05:33:46Z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F30C42B548BC4FEC8014144133D0E41F_11</vt:lpwstr>
  </property>
  <property fmtid="{D5CDD505-2E9C-101B-9397-08002B2CF9AE}" pid="4" name="KSOTemplateDocerSaveRecord">
    <vt:lpwstr>eyJoZGlkIjoiYzQxNzc2MDg1YTQyZmFkOTA0MzY4NWVlZTdhYjU5YjYiLCJ1c2VySWQiOiIxMzUyMzE0NjUxIn0=</vt:lpwstr>
  </property>
</Properties>
</file>