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59354">
      <w:pPr>
        <w:pStyle w:val="4"/>
        <w:bidi w:val="0"/>
        <w:jc w:val="center"/>
        <w:rPr>
          <w:rFonts w:hint="eastAsia"/>
          <w:lang w:val="en-US" w:eastAsia="zh-CN"/>
        </w:rPr>
      </w:pPr>
      <w:r>
        <w:rPr>
          <w:rFonts w:hint="eastAsia"/>
          <w:lang w:val="en-US" w:eastAsia="zh-CN"/>
        </w:rPr>
        <w:t>采购需求</w:t>
      </w:r>
    </w:p>
    <w:p w14:paraId="07F88341">
      <w:pPr>
        <w:spacing w:line="312" w:lineRule="auto"/>
        <w:rPr>
          <w:rFonts w:ascii="黑体" w:hAnsi="黑体" w:eastAsia="黑体" w:cs="黑体"/>
          <w:b/>
          <w:bCs/>
          <w:sz w:val="32"/>
          <w:szCs w:val="32"/>
        </w:rPr>
      </w:pPr>
      <w:bookmarkStart w:id="0" w:name="_GoBack"/>
      <w:bookmarkEnd w:id="0"/>
    </w:p>
    <w:tbl>
      <w:tblPr>
        <w:tblStyle w:val="5"/>
        <w:tblW w:w="10363" w:type="dxa"/>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3082"/>
        <w:gridCol w:w="3613"/>
        <w:gridCol w:w="818"/>
        <w:gridCol w:w="819"/>
        <w:gridCol w:w="1513"/>
      </w:tblGrid>
      <w:tr w14:paraId="32C3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noWrap w:val="0"/>
            <w:vAlign w:val="center"/>
          </w:tcPr>
          <w:p w14:paraId="22213812">
            <w:pPr>
              <w:pStyle w:val="3"/>
              <w:jc w:val="center"/>
              <w:rPr>
                <w:rFonts w:ascii="华文楷体" w:hAnsi="华文楷体" w:eastAsia="华文楷体" w:cs="华文楷体"/>
                <w:sz w:val="30"/>
                <w:szCs w:val="30"/>
              </w:rPr>
            </w:pPr>
            <w:r>
              <w:rPr>
                <w:rFonts w:hint="eastAsia" w:ascii="华文楷体" w:hAnsi="华文楷体" w:eastAsia="华文楷体" w:cs="华文楷体"/>
                <w:sz w:val="30"/>
                <w:szCs w:val="30"/>
              </w:rPr>
              <w:t>序号</w:t>
            </w:r>
          </w:p>
        </w:tc>
        <w:tc>
          <w:tcPr>
            <w:tcW w:w="3082" w:type="dxa"/>
            <w:noWrap w:val="0"/>
            <w:vAlign w:val="center"/>
          </w:tcPr>
          <w:p w14:paraId="69B2EA71">
            <w:pPr>
              <w:pStyle w:val="3"/>
              <w:jc w:val="center"/>
              <w:rPr>
                <w:rFonts w:ascii="华文楷体" w:hAnsi="华文楷体" w:eastAsia="华文楷体" w:cs="华文楷体"/>
                <w:sz w:val="30"/>
                <w:szCs w:val="30"/>
              </w:rPr>
            </w:pPr>
            <w:r>
              <w:rPr>
                <w:rFonts w:hint="eastAsia" w:ascii="华文楷体" w:hAnsi="华文楷体" w:eastAsia="华文楷体" w:cs="华文楷体"/>
                <w:sz w:val="30"/>
                <w:szCs w:val="30"/>
              </w:rPr>
              <w:t>货品名称</w:t>
            </w:r>
          </w:p>
        </w:tc>
        <w:tc>
          <w:tcPr>
            <w:tcW w:w="3613" w:type="dxa"/>
            <w:noWrap w:val="0"/>
            <w:vAlign w:val="center"/>
          </w:tcPr>
          <w:p w14:paraId="3DD81A40">
            <w:pPr>
              <w:pStyle w:val="3"/>
              <w:jc w:val="center"/>
              <w:rPr>
                <w:rFonts w:ascii="华文楷体" w:hAnsi="华文楷体" w:eastAsia="华文楷体" w:cs="华文楷体"/>
                <w:sz w:val="30"/>
                <w:szCs w:val="30"/>
              </w:rPr>
            </w:pPr>
            <w:r>
              <w:rPr>
                <w:rFonts w:hint="eastAsia" w:ascii="华文楷体" w:hAnsi="华文楷体" w:eastAsia="华文楷体" w:cs="华文楷体"/>
                <w:sz w:val="30"/>
                <w:szCs w:val="30"/>
              </w:rPr>
              <w:t>规格及技术参数</w:t>
            </w:r>
          </w:p>
        </w:tc>
        <w:tc>
          <w:tcPr>
            <w:tcW w:w="818" w:type="dxa"/>
            <w:noWrap w:val="0"/>
            <w:vAlign w:val="center"/>
          </w:tcPr>
          <w:p w14:paraId="08FB7C61">
            <w:pPr>
              <w:pStyle w:val="3"/>
              <w:jc w:val="center"/>
              <w:rPr>
                <w:rFonts w:ascii="华文楷体" w:hAnsi="华文楷体" w:eastAsia="华文楷体" w:cs="华文楷体"/>
                <w:sz w:val="30"/>
                <w:szCs w:val="30"/>
              </w:rPr>
            </w:pPr>
            <w:r>
              <w:rPr>
                <w:rFonts w:hint="eastAsia" w:ascii="华文楷体" w:hAnsi="华文楷体" w:eastAsia="华文楷体" w:cs="华文楷体"/>
                <w:sz w:val="30"/>
                <w:szCs w:val="30"/>
              </w:rPr>
              <w:t>单位</w:t>
            </w:r>
          </w:p>
        </w:tc>
        <w:tc>
          <w:tcPr>
            <w:tcW w:w="819" w:type="dxa"/>
            <w:noWrap w:val="0"/>
            <w:vAlign w:val="center"/>
          </w:tcPr>
          <w:p w14:paraId="211025E5">
            <w:pPr>
              <w:pStyle w:val="3"/>
              <w:jc w:val="center"/>
              <w:rPr>
                <w:rFonts w:ascii="华文楷体" w:hAnsi="华文楷体" w:eastAsia="华文楷体" w:cs="华文楷体"/>
                <w:sz w:val="30"/>
                <w:szCs w:val="30"/>
              </w:rPr>
            </w:pPr>
            <w:r>
              <w:rPr>
                <w:rFonts w:hint="eastAsia" w:ascii="华文楷体" w:hAnsi="华文楷体" w:eastAsia="华文楷体" w:cs="华文楷体"/>
                <w:sz w:val="30"/>
                <w:szCs w:val="30"/>
              </w:rPr>
              <w:t>数量</w:t>
            </w:r>
          </w:p>
        </w:tc>
        <w:tc>
          <w:tcPr>
            <w:tcW w:w="1513" w:type="dxa"/>
            <w:noWrap w:val="0"/>
            <w:vAlign w:val="center"/>
          </w:tcPr>
          <w:p w14:paraId="1C907A06">
            <w:pPr>
              <w:pStyle w:val="3"/>
              <w:jc w:val="center"/>
            </w:pPr>
            <w:r>
              <w:rPr>
                <w:rFonts w:hint="eastAsia" w:ascii="华文楷体" w:hAnsi="华文楷体" w:eastAsia="华文楷体" w:cs="华文楷体"/>
                <w:sz w:val="30"/>
                <w:szCs w:val="30"/>
                <w:lang w:val="en-US" w:eastAsia="zh-CN"/>
              </w:rPr>
              <w:t>预算</w:t>
            </w:r>
            <w:r>
              <w:rPr>
                <w:rFonts w:hint="eastAsia" w:ascii="华文楷体" w:hAnsi="华文楷体" w:eastAsia="华文楷体" w:cs="华文楷体"/>
                <w:sz w:val="30"/>
                <w:szCs w:val="30"/>
              </w:rPr>
              <w:t>总额</w:t>
            </w:r>
          </w:p>
          <w:p w14:paraId="3D3F0C6B">
            <w:pPr>
              <w:jc w:val="center"/>
              <w:rPr>
                <w:rFonts w:hint="eastAsia" w:asciiTheme="minorEastAsia" w:hAnsiTheme="minorEastAsia" w:eastAsiaTheme="minorEastAsia" w:cstheme="minorEastAsia"/>
              </w:rPr>
            </w:pPr>
            <w:r>
              <w:rPr>
                <w:rFonts w:hint="eastAsia" w:ascii="宋体" w:hAnsi="宋体" w:eastAsia="宋体" w:cs="宋体"/>
              </w:rPr>
              <w:t>(</w:t>
            </w:r>
            <w:r>
              <w:rPr>
                <w:rFonts w:hint="eastAsia" w:ascii="宋体" w:hAnsi="宋体" w:eastAsia="宋体" w:cs="宋体"/>
                <w:lang w:val="en-US" w:eastAsia="zh-CN"/>
              </w:rPr>
              <w:t>元</w:t>
            </w:r>
            <w:r>
              <w:rPr>
                <w:rFonts w:hint="eastAsia" w:ascii="宋体" w:hAnsi="宋体" w:eastAsia="宋体" w:cs="宋体"/>
              </w:rPr>
              <w:t>)</w:t>
            </w:r>
          </w:p>
        </w:tc>
      </w:tr>
      <w:tr w14:paraId="16D4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EFAAAC2">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3082" w:type="dxa"/>
            <w:noWrap w:val="0"/>
            <w:vAlign w:val="center"/>
          </w:tcPr>
          <w:p w14:paraId="3C6BBE2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肺炎克雷伯氏菌肺炎亚种</w:t>
            </w:r>
          </w:p>
        </w:tc>
        <w:tc>
          <w:tcPr>
            <w:tcW w:w="3613" w:type="dxa"/>
            <w:noWrap w:val="0"/>
            <w:vAlign w:val="center"/>
          </w:tcPr>
          <w:p w14:paraId="1B19387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2.冻干粉；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3.参考用途：分类学研究；抗菌防腐试验；黏合剂抗菌测试；生物抗性测试；培养基质控；质控菌株；食品检测；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4.储存条件：</w:t>
            </w:r>
            <w:r>
              <w:rPr>
                <w:rFonts w:hint="eastAsia" w:ascii="宋体" w:hAnsi="宋体" w:eastAsia="宋体" w:cs="宋体"/>
                <w:i w:val="0"/>
                <w:iCs w:val="0"/>
                <w:color w:val="000000"/>
                <w:kern w:val="0"/>
                <w:sz w:val="18"/>
                <w:szCs w:val="18"/>
                <w:u w:val="none"/>
                <w:lang w:val="en-US" w:eastAsia="zh-CN" w:bidi="ar"/>
              </w:rPr>
              <w:softHyphen/>
            </w:r>
            <w:r>
              <w:rPr>
                <w:rFonts w:hint="eastAsia" w:ascii="宋体" w:hAnsi="宋体" w:eastAsia="宋体" w:cs="宋体"/>
                <w:i w:val="0"/>
                <w:iCs w:val="0"/>
                <w:color w:val="000000"/>
                <w:kern w:val="0"/>
                <w:sz w:val="18"/>
                <w:szCs w:val="18"/>
                <w:u w:val="none"/>
                <w:lang w:val="en-US" w:eastAsia="zh-CN" w:bidi="ar"/>
              </w:rPr>
              <w:t>18℃～</w:t>
            </w:r>
            <w:r>
              <w:rPr>
                <w:rFonts w:hint="eastAsia" w:ascii="宋体" w:hAnsi="宋体" w:eastAsia="宋体" w:cs="宋体"/>
                <w:i w:val="0"/>
                <w:iCs w:val="0"/>
                <w:color w:val="000000"/>
                <w:kern w:val="0"/>
                <w:sz w:val="18"/>
                <w:szCs w:val="18"/>
                <w:u w:val="none"/>
                <w:lang w:val="en-US" w:eastAsia="zh-CN" w:bidi="ar"/>
              </w:rPr>
              <w:softHyphen/>
            </w:r>
            <w:r>
              <w:rPr>
                <w:rFonts w:hint="eastAsia" w:ascii="宋体" w:hAnsi="宋体" w:eastAsia="宋体" w:cs="宋体"/>
                <w:i w:val="0"/>
                <w:iCs w:val="0"/>
                <w:color w:val="000000"/>
                <w:kern w:val="0"/>
                <w:sz w:val="18"/>
                <w:szCs w:val="18"/>
                <w:u w:val="none"/>
                <w:lang w:val="en-US" w:eastAsia="zh-CN" w:bidi="ar"/>
              </w:rPr>
              <w:t>33℃冷冻。</w:t>
            </w:r>
          </w:p>
        </w:tc>
        <w:tc>
          <w:tcPr>
            <w:tcW w:w="818" w:type="dxa"/>
            <w:noWrap w:val="0"/>
            <w:vAlign w:val="center"/>
          </w:tcPr>
          <w:p w14:paraId="3C554C8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株</w:t>
            </w:r>
          </w:p>
        </w:tc>
        <w:tc>
          <w:tcPr>
            <w:tcW w:w="819" w:type="dxa"/>
            <w:noWrap w:val="0"/>
            <w:vAlign w:val="center"/>
          </w:tcPr>
          <w:p w14:paraId="60799DB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restart"/>
            <w:noWrap w:val="0"/>
            <w:vAlign w:val="center"/>
          </w:tcPr>
          <w:p w14:paraId="6750AEDE">
            <w:pPr>
              <w:widowControl/>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24896</w:t>
            </w:r>
          </w:p>
        </w:tc>
      </w:tr>
      <w:tr w14:paraId="1D09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320B621A">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3082" w:type="dxa"/>
            <w:noWrap w:val="0"/>
            <w:vAlign w:val="center"/>
          </w:tcPr>
          <w:p w14:paraId="1B3833C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大肠埃希氏菌</w:t>
            </w:r>
          </w:p>
        </w:tc>
        <w:tc>
          <w:tcPr>
            <w:tcW w:w="3613" w:type="dxa"/>
            <w:noWrap w:val="0"/>
            <w:vAlign w:val="center"/>
          </w:tcPr>
          <w:p w14:paraId="5966B24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2.冻干粉；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3.参考用途：抗菌实验，过滤膜测试，检测消毒杀菌剂；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4.储存条件：</w:t>
            </w:r>
            <w:r>
              <w:rPr>
                <w:rFonts w:hint="eastAsia" w:ascii="宋体" w:hAnsi="宋体" w:eastAsia="宋体" w:cs="宋体"/>
                <w:i w:val="0"/>
                <w:iCs w:val="0"/>
                <w:color w:val="000000"/>
                <w:kern w:val="0"/>
                <w:sz w:val="18"/>
                <w:szCs w:val="18"/>
                <w:u w:val="none"/>
                <w:lang w:val="en-US" w:eastAsia="zh-CN" w:bidi="ar"/>
              </w:rPr>
              <w:softHyphen/>
            </w:r>
            <w:r>
              <w:rPr>
                <w:rFonts w:hint="eastAsia" w:ascii="宋体" w:hAnsi="宋体" w:eastAsia="宋体" w:cs="宋体"/>
                <w:i w:val="0"/>
                <w:iCs w:val="0"/>
                <w:color w:val="000000"/>
                <w:kern w:val="0"/>
                <w:sz w:val="18"/>
                <w:szCs w:val="18"/>
                <w:u w:val="none"/>
                <w:lang w:val="en-US" w:eastAsia="zh-CN" w:bidi="ar"/>
              </w:rPr>
              <w:t>18℃～</w:t>
            </w:r>
            <w:r>
              <w:rPr>
                <w:rFonts w:hint="eastAsia" w:ascii="宋体" w:hAnsi="宋体" w:eastAsia="宋体" w:cs="宋体"/>
                <w:i w:val="0"/>
                <w:iCs w:val="0"/>
                <w:color w:val="000000"/>
                <w:kern w:val="0"/>
                <w:sz w:val="18"/>
                <w:szCs w:val="18"/>
                <w:u w:val="none"/>
                <w:lang w:val="en-US" w:eastAsia="zh-CN" w:bidi="ar"/>
              </w:rPr>
              <w:softHyphen/>
            </w:r>
            <w:r>
              <w:rPr>
                <w:rFonts w:hint="eastAsia" w:ascii="宋体" w:hAnsi="宋体" w:eastAsia="宋体" w:cs="宋体"/>
                <w:i w:val="0"/>
                <w:iCs w:val="0"/>
                <w:color w:val="000000"/>
                <w:kern w:val="0"/>
                <w:sz w:val="18"/>
                <w:szCs w:val="18"/>
                <w:u w:val="none"/>
                <w:lang w:val="en-US" w:eastAsia="zh-CN" w:bidi="ar"/>
              </w:rPr>
              <w:t>33℃冷冻。</w:t>
            </w:r>
          </w:p>
        </w:tc>
        <w:tc>
          <w:tcPr>
            <w:tcW w:w="818" w:type="dxa"/>
            <w:noWrap w:val="0"/>
            <w:vAlign w:val="center"/>
          </w:tcPr>
          <w:p w14:paraId="6DEAAD6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株</w:t>
            </w:r>
          </w:p>
        </w:tc>
        <w:tc>
          <w:tcPr>
            <w:tcW w:w="819" w:type="dxa"/>
            <w:noWrap w:val="0"/>
            <w:vAlign w:val="center"/>
          </w:tcPr>
          <w:p w14:paraId="5AF8158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A57288D">
            <w:pPr>
              <w:widowControl/>
              <w:jc w:val="center"/>
              <w:textAlignment w:val="top"/>
              <w:rPr>
                <w:rFonts w:hint="eastAsia" w:ascii="宋体" w:hAnsi="宋体" w:eastAsia="宋体" w:cs="宋体"/>
                <w:sz w:val="18"/>
                <w:szCs w:val="18"/>
              </w:rPr>
            </w:pPr>
          </w:p>
        </w:tc>
      </w:tr>
      <w:tr w14:paraId="6830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6F11308">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3082" w:type="dxa"/>
            <w:noWrap w:val="0"/>
            <w:vAlign w:val="center"/>
          </w:tcPr>
          <w:p w14:paraId="23E3F34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大肠杆菌缺陷型菌株WM3064 </w:t>
            </w:r>
          </w:p>
        </w:tc>
        <w:tc>
          <w:tcPr>
            <w:tcW w:w="3613" w:type="dxa"/>
            <w:noWrap w:val="0"/>
            <w:vAlign w:val="center"/>
          </w:tcPr>
          <w:p w14:paraId="2C82F303">
            <w:pPr>
              <w:keepNext w:val="0"/>
              <w:keepLines w:val="0"/>
              <w:widowControl/>
              <w:suppressLineNumbers w:val="0"/>
              <w:jc w:val="left"/>
              <w:textAlignment w:val="center"/>
              <w:rPr>
                <w:rFonts w:hint="eastAsia" w:ascii="宋体" w:hAnsi="宋体" w:eastAsia="宋体" w:cs="宋体"/>
                <w:sz w:val="18"/>
                <w:szCs w:val="18"/>
              </w:rPr>
            </w:pPr>
            <w:r>
              <w:rPr>
                <w:rStyle w:val="9"/>
                <w:rFonts w:hint="eastAsia" w:ascii="宋体" w:hAnsi="宋体" w:eastAsia="宋体" w:cs="宋体"/>
                <w:sz w:val="18"/>
                <w:szCs w:val="18"/>
                <w:lang w:val="en-US" w:eastAsia="zh-CN" w:bidi="ar"/>
              </w:rPr>
              <w:t>1.规格：≥10</w:t>
            </w:r>
            <w:r>
              <w:rPr>
                <w:rStyle w:val="10"/>
                <w:rFonts w:hint="eastAsia" w:ascii="宋体" w:hAnsi="宋体" w:eastAsia="宋体" w:cs="宋体"/>
                <w:sz w:val="18"/>
                <w:szCs w:val="18"/>
                <w:lang w:val="en-US" w:eastAsia="zh-CN" w:bidi="ar"/>
              </w:rPr>
              <w:t>⁶</w:t>
            </w:r>
            <w:r>
              <w:rPr>
                <w:rStyle w:val="9"/>
                <w:rFonts w:hint="eastAsia" w:ascii="宋体" w:hAnsi="宋体" w:eastAsia="宋体" w:cs="宋体"/>
                <w:sz w:val="18"/>
                <w:szCs w:val="18"/>
                <w:lang w:val="en-US" w:eastAsia="zh-CN" w:bidi="ar"/>
              </w:rPr>
              <w:t>CFU/支；</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2.用途：用于质粒接合转移实验；</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★3.关键特性：二氨基庚二酸（DAP）营养缺陷型，无DAP时无法生长，可避免供体菌污染；</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4.接合转移能力：携带RP4接合转移系统，可高效将含oriT的质粒转移至受体菌</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5.培养条件：LB培养基添加50μg/mL DAP，37℃需氧培养</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 xml:space="preserve">6.保存条件：-80℃甘油菌保存，有效期1年；复苏后4℃保存不超过1周 </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7.基因型： thrB1004 pro thi rpsL hsdS lacZΔM15 RP4-1360 Δ(araBAD)567 ΔdapA1341::[erm pir(wt)]。</w:t>
            </w:r>
          </w:p>
        </w:tc>
        <w:tc>
          <w:tcPr>
            <w:tcW w:w="818" w:type="dxa"/>
            <w:noWrap w:val="0"/>
            <w:vAlign w:val="center"/>
          </w:tcPr>
          <w:p w14:paraId="74A9318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19" w:type="dxa"/>
            <w:noWrap w:val="0"/>
            <w:vAlign w:val="center"/>
          </w:tcPr>
          <w:p w14:paraId="6CC9670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A5A6292">
            <w:pPr>
              <w:widowControl/>
              <w:jc w:val="center"/>
              <w:textAlignment w:val="center"/>
              <w:rPr>
                <w:rFonts w:hint="eastAsia" w:ascii="宋体" w:hAnsi="宋体" w:eastAsia="宋体" w:cs="宋体"/>
                <w:sz w:val="18"/>
                <w:szCs w:val="18"/>
              </w:rPr>
            </w:pPr>
          </w:p>
        </w:tc>
      </w:tr>
      <w:tr w14:paraId="2AEF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4CFDFC0B">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3082" w:type="dxa"/>
            <w:noWrap w:val="0"/>
            <w:vAlign w:val="center"/>
          </w:tcPr>
          <w:p w14:paraId="48BFD46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2，6-二氨基庚二酸</w:t>
            </w:r>
          </w:p>
        </w:tc>
        <w:tc>
          <w:tcPr>
            <w:tcW w:w="3613" w:type="dxa"/>
            <w:noWrap w:val="0"/>
            <w:vAlign w:val="center"/>
          </w:tcPr>
          <w:p w14:paraId="6C6CD3E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r>
              <w:rPr>
                <w:rStyle w:val="9"/>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规格：≥1g；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w:t>
            </w:r>
            <w:r>
              <w:rPr>
                <w:rStyle w:val="9"/>
                <w:rFonts w:hint="eastAsia" w:ascii="宋体" w:hAnsi="宋体" w:eastAsia="宋体" w:cs="宋体"/>
                <w:sz w:val="18"/>
                <w:szCs w:val="18"/>
                <w:lang w:val="en-US" w:eastAsia="zh-CN" w:bidi="ar"/>
              </w:rPr>
              <w:t>.</w:t>
            </w:r>
            <w:r>
              <w:rPr>
                <w:rFonts w:hint="eastAsia" w:ascii="宋体" w:hAnsi="宋体" w:eastAsia="宋体" w:cs="宋体"/>
                <w:i w:val="0"/>
                <w:iCs w:val="0"/>
                <w:color w:val="000000"/>
                <w:kern w:val="0"/>
                <w:sz w:val="18"/>
                <w:szCs w:val="18"/>
                <w:u w:val="none"/>
                <w:lang w:val="en-US" w:eastAsia="zh-CN" w:bidi="ar"/>
              </w:rPr>
              <w:t>在酶学功能层面，分子中2位和6位氨基的对称结构赋予其催化潜力。</w:t>
            </w:r>
          </w:p>
        </w:tc>
        <w:tc>
          <w:tcPr>
            <w:tcW w:w="818" w:type="dxa"/>
            <w:noWrap w:val="0"/>
            <w:vAlign w:val="center"/>
          </w:tcPr>
          <w:p w14:paraId="1AEBFB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19" w:type="dxa"/>
            <w:noWrap w:val="0"/>
            <w:vAlign w:val="center"/>
          </w:tcPr>
          <w:p w14:paraId="62291B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w:t>
            </w:r>
          </w:p>
        </w:tc>
        <w:tc>
          <w:tcPr>
            <w:tcW w:w="1513" w:type="dxa"/>
            <w:vMerge w:val="continue"/>
            <w:noWrap w:val="0"/>
            <w:vAlign w:val="center"/>
          </w:tcPr>
          <w:p w14:paraId="4865E4E5">
            <w:pPr>
              <w:widowControl/>
              <w:jc w:val="both"/>
              <w:textAlignment w:val="top"/>
              <w:rPr>
                <w:rFonts w:hint="eastAsia" w:ascii="宋体" w:hAnsi="宋体" w:eastAsia="宋体" w:cs="宋体"/>
                <w:sz w:val="18"/>
                <w:szCs w:val="18"/>
              </w:rPr>
            </w:pPr>
          </w:p>
        </w:tc>
      </w:tr>
      <w:tr w14:paraId="0893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4F9EB4B8">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3082" w:type="dxa"/>
            <w:noWrap w:val="0"/>
            <w:vAlign w:val="center"/>
          </w:tcPr>
          <w:p w14:paraId="1EF095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通用型高灵敏度染料法定量PCR 检测试剂盒</w:t>
            </w:r>
          </w:p>
        </w:tc>
        <w:tc>
          <w:tcPr>
            <w:tcW w:w="3613" w:type="dxa"/>
            <w:noWrap w:val="0"/>
            <w:vAlign w:val="center"/>
          </w:tcPr>
          <w:p w14:paraId="3D30D87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1.规格：≥20μl/rxn、≥500rxn；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2.2×预混液，SYBR Green I 染料法；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3.热启动：抗体法热启动 Taq 酶；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4.模板适用：cDNA / 基因组 DNA，1 pg–50 ng/20 μL；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5.扩增子长度：推荐 70–200 bp；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6.扩增效率：90%–120%（R²&gt;0.98）。</w:t>
            </w:r>
          </w:p>
        </w:tc>
        <w:tc>
          <w:tcPr>
            <w:tcW w:w="818" w:type="dxa"/>
            <w:noWrap w:val="0"/>
            <w:vAlign w:val="center"/>
          </w:tcPr>
          <w:p w14:paraId="5676BDB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盒</w:t>
            </w:r>
          </w:p>
        </w:tc>
        <w:tc>
          <w:tcPr>
            <w:tcW w:w="819" w:type="dxa"/>
            <w:noWrap w:val="0"/>
            <w:vAlign w:val="center"/>
          </w:tcPr>
          <w:p w14:paraId="18EADF4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0ED82737">
            <w:pPr>
              <w:widowControl/>
              <w:jc w:val="both"/>
              <w:textAlignment w:val="top"/>
              <w:rPr>
                <w:rFonts w:hint="eastAsia" w:ascii="宋体" w:hAnsi="宋体" w:eastAsia="宋体" w:cs="宋体"/>
                <w:sz w:val="18"/>
                <w:szCs w:val="18"/>
              </w:rPr>
            </w:pPr>
          </w:p>
        </w:tc>
      </w:tr>
      <w:tr w14:paraId="7D97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63EF7DC8">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3082" w:type="dxa"/>
            <w:noWrap w:val="0"/>
            <w:vAlign w:val="center"/>
          </w:tcPr>
          <w:p w14:paraId="0013217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RNAprep Pure 培养细胞/细菌总 RNA 提取试剂盒</w:t>
            </w:r>
          </w:p>
        </w:tc>
        <w:tc>
          <w:tcPr>
            <w:tcW w:w="3613" w:type="dxa"/>
            <w:noWrap w:val="0"/>
            <w:vAlign w:val="center"/>
          </w:tcPr>
          <w:p w14:paraId="5E57233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1.规格：≥50次/盒；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2.针对培养细胞和细菌流程更优化；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3.配有高效的 DNase Ⅰ，可有效去除 DNA 污染；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4.配有 CS 过滤柱，可有效去除其它杂质；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5.RNA 纯度更高，无杂质残留，特别适合于对纯度要求很高的下游实验；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6.操作安全可靠，无需酚 / 氯仿抽提，无需氯化铯梯度离心，无需氯化锂或乙醇沉淀。</w:t>
            </w:r>
          </w:p>
        </w:tc>
        <w:tc>
          <w:tcPr>
            <w:tcW w:w="818" w:type="dxa"/>
            <w:noWrap w:val="0"/>
            <w:vAlign w:val="center"/>
          </w:tcPr>
          <w:p w14:paraId="18F5CA9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盒</w:t>
            </w:r>
          </w:p>
        </w:tc>
        <w:tc>
          <w:tcPr>
            <w:tcW w:w="819" w:type="dxa"/>
            <w:noWrap w:val="0"/>
            <w:vAlign w:val="center"/>
          </w:tcPr>
          <w:p w14:paraId="5A8CD7F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53140048">
            <w:pPr>
              <w:widowControl/>
              <w:jc w:val="both"/>
              <w:textAlignment w:val="top"/>
              <w:rPr>
                <w:rFonts w:hint="eastAsia" w:ascii="宋体" w:hAnsi="宋体" w:eastAsia="宋体" w:cs="宋体"/>
                <w:sz w:val="18"/>
                <w:szCs w:val="18"/>
              </w:rPr>
            </w:pPr>
          </w:p>
        </w:tc>
      </w:tr>
      <w:tr w14:paraId="788B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788C3C8">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3082" w:type="dxa"/>
            <w:noWrap w:val="0"/>
            <w:vAlign w:val="center"/>
          </w:tcPr>
          <w:p w14:paraId="50E6C23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MightyAmp  for Real Time (TB Green  Plus)</w:t>
            </w:r>
          </w:p>
        </w:tc>
        <w:tc>
          <w:tcPr>
            <w:tcW w:w="3613" w:type="dxa"/>
            <w:noWrap w:val="0"/>
            <w:vAlign w:val="center"/>
          </w:tcPr>
          <w:p w14:paraId="450669C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1.规格：≥200Rxns/盒；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2.适用于Real Time PCR反应，可以快速、准确地对目的基因进行检测和定量；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在2×浓度的Premix中，预先混有TB Green，PCR反应液配制时，只需加入模板、引物、灭菌蒸馏水便可进行Real Time PCR反应，操作简单方便；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 DNA聚合酶使用了反应性能很强的MightyAmp DNA Polymerase，对于以下以前难以扩增的情况，使用本试剂进行Real Time PCR反应，性能可能会得到改善：使用粗提后纯度较低的样品；扩增目的片段GC含量超过70%；使用常规PCR引物对300 bp～2 kb DNA片段直接进行定量PCR反应。</w:t>
            </w:r>
          </w:p>
        </w:tc>
        <w:tc>
          <w:tcPr>
            <w:tcW w:w="818" w:type="dxa"/>
            <w:noWrap w:val="0"/>
            <w:vAlign w:val="center"/>
          </w:tcPr>
          <w:p w14:paraId="19C662E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盒</w:t>
            </w:r>
          </w:p>
        </w:tc>
        <w:tc>
          <w:tcPr>
            <w:tcW w:w="819" w:type="dxa"/>
            <w:noWrap w:val="0"/>
            <w:vAlign w:val="center"/>
          </w:tcPr>
          <w:p w14:paraId="4228D58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42E35714">
            <w:pPr>
              <w:widowControl/>
              <w:jc w:val="both"/>
              <w:textAlignment w:val="top"/>
              <w:rPr>
                <w:rFonts w:hint="eastAsia" w:ascii="宋体" w:hAnsi="宋体" w:eastAsia="宋体" w:cs="宋体"/>
                <w:sz w:val="18"/>
                <w:szCs w:val="18"/>
              </w:rPr>
            </w:pPr>
          </w:p>
        </w:tc>
      </w:tr>
      <w:tr w14:paraId="1601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68ECB6D9">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3082" w:type="dxa"/>
            <w:noWrap w:val="0"/>
            <w:vAlign w:val="center"/>
          </w:tcPr>
          <w:p w14:paraId="4D73500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PrimeScript  One Step RT-PCR Kit Ver.2 (Dye Plus)</w:t>
            </w:r>
          </w:p>
        </w:tc>
        <w:tc>
          <w:tcPr>
            <w:tcW w:w="3613" w:type="dxa"/>
            <w:noWrap w:val="0"/>
            <w:vAlign w:val="center"/>
          </w:tcPr>
          <w:p w14:paraId="697AD7A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1.规格：≥50Rxns/盒；快速方便的单管反应；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2.适合各种RNA模板，无需优化反应条件；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3.独特的酶组合，确保反应的高特异性和高灵敏度；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 经优化的缓冲体系确保了高效的逆转录和扩增过程；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5.试剂盒中包含优化的组分，可在同一反应混合液中进行逆转录和PCR扩增，完成"一步式"反应。</w:t>
            </w:r>
          </w:p>
        </w:tc>
        <w:tc>
          <w:tcPr>
            <w:tcW w:w="818" w:type="dxa"/>
            <w:noWrap w:val="0"/>
            <w:vAlign w:val="center"/>
          </w:tcPr>
          <w:p w14:paraId="2D387EE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盒</w:t>
            </w:r>
          </w:p>
        </w:tc>
        <w:tc>
          <w:tcPr>
            <w:tcW w:w="819" w:type="dxa"/>
            <w:noWrap w:val="0"/>
            <w:vAlign w:val="center"/>
          </w:tcPr>
          <w:p w14:paraId="4A2976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750DB77">
            <w:pPr>
              <w:widowControl/>
              <w:jc w:val="both"/>
              <w:textAlignment w:val="top"/>
              <w:rPr>
                <w:rFonts w:hint="eastAsia" w:ascii="宋体" w:hAnsi="宋体" w:eastAsia="宋体" w:cs="宋体"/>
                <w:sz w:val="18"/>
                <w:szCs w:val="18"/>
              </w:rPr>
            </w:pPr>
          </w:p>
        </w:tc>
      </w:tr>
      <w:tr w14:paraId="3AE9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361DCAFF">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3082" w:type="dxa"/>
            <w:noWrap w:val="0"/>
            <w:vAlign w:val="center"/>
          </w:tcPr>
          <w:p w14:paraId="73A84D2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无水氯化钙</w:t>
            </w:r>
          </w:p>
        </w:tc>
        <w:tc>
          <w:tcPr>
            <w:tcW w:w="3613" w:type="dxa"/>
            <w:noWrap w:val="0"/>
            <w:vAlign w:val="center"/>
          </w:tcPr>
          <w:p w14:paraId="5FE4081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2.白色颗粒；易溶于水；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3.用途：化学感受态的制备。</w:t>
            </w:r>
          </w:p>
        </w:tc>
        <w:tc>
          <w:tcPr>
            <w:tcW w:w="818" w:type="dxa"/>
            <w:noWrap w:val="0"/>
            <w:vAlign w:val="center"/>
          </w:tcPr>
          <w:p w14:paraId="051F42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7776728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66F03A0C">
            <w:pPr>
              <w:widowControl/>
              <w:jc w:val="both"/>
              <w:textAlignment w:val="top"/>
              <w:rPr>
                <w:rFonts w:hint="eastAsia" w:ascii="宋体" w:hAnsi="宋体" w:eastAsia="宋体" w:cs="宋体"/>
                <w:sz w:val="18"/>
                <w:szCs w:val="18"/>
              </w:rPr>
            </w:pPr>
          </w:p>
        </w:tc>
      </w:tr>
      <w:tr w14:paraId="3AC8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32D29A21">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3082" w:type="dxa"/>
            <w:noWrap w:val="0"/>
            <w:vAlign w:val="center"/>
          </w:tcPr>
          <w:p w14:paraId="2E9557B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10%甘油水溶液（无菌）</w:t>
            </w:r>
          </w:p>
        </w:tc>
        <w:tc>
          <w:tcPr>
            <w:tcW w:w="3613" w:type="dxa"/>
            <w:noWrap w:val="0"/>
            <w:vAlign w:val="center"/>
          </w:tcPr>
          <w:p w14:paraId="0A94CCD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1.规格：≥100ml/瓶；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2.无菌，常温保存；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3.用途：电转化；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4.浓度：10%。</w:t>
            </w:r>
          </w:p>
        </w:tc>
        <w:tc>
          <w:tcPr>
            <w:tcW w:w="818" w:type="dxa"/>
            <w:noWrap w:val="0"/>
            <w:vAlign w:val="center"/>
          </w:tcPr>
          <w:p w14:paraId="2C4394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3F36E35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w:t>
            </w:r>
          </w:p>
        </w:tc>
        <w:tc>
          <w:tcPr>
            <w:tcW w:w="1513" w:type="dxa"/>
            <w:vMerge w:val="continue"/>
            <w:noWrap w:val="0"/>
            <w:vAlign w:val="center"/>
          </w:tcPr>
          <w:p w14:paraId="3555DF86">
            <w:pPr>
              <w:widowControl/>
              <w:jc w:val="both"/>
              <w:textAlignment w:val="top"/>
              <w:rPr>
                <w:rFonts w:hint="eastAsia" w:ascii="宋体" w:hAnsi="宋体" w:eastAsia="宋体" w:cs="宋体"/>
                <w:sz w:val="18"/>
                <w:szCs w:val="18"/>
              </w:rPr>
            </w:pPr>
          </w:p>
        </w:tc>
      </w:tr>
      <w:tr w14:paraId="6645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60899557">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w:t>
            </w:r>
          </w:p>
        </w:tc>
        <w:tc>
          <w:tcPr>
            <w:tcW w:w="3082" w:type="dxa"/>
            <w:noWrap w:val="0"/>
            <w:vAlign w:val="center"/>
          </w:tcPr>
          <w:p w14:paraId="0D27885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20%甘油水溶液（无菌）</w:t>
            </w:r>
          </w:p>
        </w:tc>
        <w:tc>
          <w:tcPr>
            <w:tcW w:w="3613" w:type="dxa"/>
            <w:noWrap w:val="0"/>
            <w:vAlign w:val="center"/>
          </w:tcPr>
          <w:p w14:paraId="3B3B0FD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1.规格：≥100ml/瓶；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2.无菌，常温保存；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3.用途：菌株保存；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4.浓度：20%。</w:t>
            </w:r>
          </w:p>
        </w:tc>
        <w:tc>
          <w:tcPr>
            <w:tcW w:w="818" w:type="dxa"/>
            <w:noWrap w:val="0"/>
            <w:vAlign w:val="center"/>
          </w:tcPr>
          <w:p w14:paraId="684E08B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2E846F8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w:t>
            </w:r>
          </w:p>
        </w:tc>
        <w:tc>
          <w:tcPr>
            <w:tcW w:w="1513" w:type="dxa"/>
            <w:vMerge w:val="continue"/>
            <w:noWrap w:val="0"/>
            <w:vAlign w:val="center"/>
          </w:tcPr>
          <w:p w14:paraId="298BF505">
            <w:pPr>
              <w:widowControl/>
              <w:jc w:val="both"/>
              <w:textAlignment w:val="top"/>
              <w:rPr>
                <w:rFonts w:hint="eastAsia" w:ascii="宋体" w:hAnsi="宋体" w:eastAsia="宋体" w:cs="宋体"/>
                <w:sz w:val="18"/>
                <w:szCs w:val="18"/>
              </w:rPr>
            </w:pPr>
          </w:p>
        </w:tc>
      </w:tr>
      <w:tr w14:paraId="031F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51885C1A">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w:t>
            </w:r>
          </w:p>
        </w:tc>
        <w:tc>
          <w:tcPr>
            <w:tcW w:w="3082" w:type="dxa"/>
            <w:noWrap w:val="0"/>
            <w:vAlign w:val="center"/>
          </w:tcPr>
          <w:p w14:paraId="036AB8B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L-阿拉伯糖</w:t>
            </w:r>
          </w:p>
        </w:tc>
        <w:tc>
          <w:tcPr>
            <w:tcW w:w="3613" w:type="dxa"/>
            <w:noWrap w:val="0"/>
            <w:vAlign w:val="center"/>
          </w:tcPr>
          <w:p w14:paraId="52CEA05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1.规格：≥100g/瓶；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2.纯度：≥99%；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3.溶解性：溶于水；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4.常温保存，保质期≥4年。</w:t>
            </w:r>
          </w:p>
        </w:tc>
        <w:tc>
          <w:tcPr>
            <w:tcW w:w="818" w:type="dxa"/>
            <w:noWrap w:val="0"/>
            <w:vAlign w:val="center"/>
          </w:tcPr>
          <w:p w14:paraId="30FA9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3427515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5FD1121">
            <w:pPr>
              <w:widowControl/>
              <w:jc w:val="both"/>
              <w:textAlignment w:val="top"/>
              <w:rPr>
                <w:rFonts w:hint="eastAsia" w:ascii="宋体" w:hAnsi="宋体" w:eastAsia="宋体" w:cs="宋体"/>
                <w:sz w:val="18"/>
                <w:szCs w:val="18"/>
              </w:rPr>
            </w:pPr>
          </w:p>
        </w:tc>
      </w:tr>
      <w:tr w14:paraId="2B16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4D123B7B">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w:t>
            </w:r>
          </w:p>
        </w:tc>
        <w:tc>
          <w:tcPr>
            <w:tcW w:w="3082" w:type="dxa"/>
            <w:noWrap w:val="0"/>
            <w:vAlign w:val="center"/>
          </w:tcPr>
          <w:p w14:paraId="41A2A7E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PAβN dihydrochloride</w:t>
            </w:r>
          </w:p>
        </w:tc>
        <w:tc>
          <w:tcPr>
            <w:tcW w:w="3613" w:type="dxa"/>
            <w:noWrap w:val="0"/>
            <w:vAlign w:val="center"/>
          </w:tcPr>
          <w:p w14:paraId="34BD77B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1.规格：≥5mg/瓶；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2.纯度：≥98%；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3.固体；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4.冷冻运输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5.-20℃保存，保质期≥6个月。</w:t>
            </w:r>
          </w:p>
        </w:tc>
        <w:tc>
          <w:tcPr>
            <w:tcW w:w="818" w:type="dxa"/>
            <w:noWrap w:val="0"/>
            <w:vAlign w:val="center"/>
          </w:tcPr>
          <w:p w14:paraId="7786229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56ED81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12F003CA">
            <w:pPr>
              <w:widowControl/>
              <w:jc w:val="both"/>
              <w:textAlignment w:val="top"/>
              <w:rPr>
                <w:rFonts w:hint="eastAsia" w:ascii="宋体" w:hAnsi="宋体" w:eastAsia="宋体" w:cs="宋体"/>
                <w:sz w:val="18"/>
                <w:szCs w:val="18"/>
              </w:rPr>
            </w:pPr>
          </w:p>
        </w:tc>
      </w:tr>
      <w:tr w14:paraId="2AA7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2E874F12">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w:t>
            </w:r>
          </w:p>
        </w:tc>
        <w:tc>
          <w:tcPr>
            <w:tcW w:w="3082" w:type="dxa"/>
            <w:noWrap w:val="0"/>
            <w:vAlign w:val="center"/>
          </w:tcPr>
          <w:p w14:paraId="13102A4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DMSO</w:t>
            </w:r>
          </w:p>
        </w:tc>
        <w:tc>
          <w:tcPr>
            <w:tcW w:w="3613" w:type="dxa"/>
            <w:noWrap w:val="0"/>
            <w:vAlign w:val="center"/>
          </w:tcPr>
          <w:p w14:paraId="687172A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1.规格：≥500mL/瓶；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2.纯度：≥99.9% GC；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3.无色液体；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4.常温运输；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5.常温保存，保质期≥3年。</w:t>
            </w:r>
          </w:p>
        </w:tc>
        <w:tc>
          <w:tcPr>
            <w:tcW w:w="818" w:type="dxa"/>
            <w:noWrap w:val="0"/>
            <w:vAlign w:val="center"/>
          </w:tcPr>
          <w:p w14:paraId="239F9BF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0A6FD21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w:t>
            </w:r>
          </w:p>
        </w:tc>
        <w:tc>
          <w:tcPr>
            <w:tcW w:w="1513" w:type="dxa"/>
            <w:vMerge w:val="continue"/>
            <w:noWrap w:val="0"/>
            <w:vAlign w:val="center"/>
          </w:tcPr>
          <w:p w14:paraId="3AEC7E28">
            <w:pPr>
              <w:widowControl/>
              <w:jc w:val="both"/>
              <w:textAlignment w:val="top"/>
              <w:rPr>
                <w:rFonts w:hint="eastAsia" w:ascii="宋体" w:hAnsi="宋体" w:eastAsia="宋体" w:cs="宋体"/>
                <w:sz w:val="18"/>
                <w:szCs w:val="18"/>
              </w:rPr>
            </w:pPr>
          </w:p>
        </w:tc>
      </w:tr>
      <w:tr w14:paraId="49D4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6B4F5104">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w:t>
            </w:r>
          </w:p>
        </w:tc>
        <w:tc>
          <w:tcPr>
            <w:tcW w:w="3082" w:type="dxa"/>
            <w:noWrap w:val="0"/>
            <w:vAlign w:val="center"/>
          </w:tcPr>
          <w:p w14:paraId="7D60954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IPTG溶液（50mg/ml）</w:t>
            </w:r>
          </w:p>
        </w:tc>
        <w:tc>
          <w:tcPr>
            <w:tcW w:w="3613" w:type="dxa"/>
            <w:noWrap w:val="0"/>
            <w:vAlign w:val="center"/>
          </w:tcPr>
          <w:p w14:paraId="17EBB74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1.规格：≥5.0mL/瓶；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2.浓度：50mg/ml；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3.纯度：≥99%；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4.储存条件：保存在-20℃，避光≥1年。</w:t>
            </w:r>
          </w:p>
        </w:tc>
        <w:tc>
          <w:tcPr>
            <w:tcW w:w="818" w:type="dxa"/>
            <w:noWrap w:val="0"/>
            <w:vAlign w:val="center"/>
          </w:tcPr>
          <w:p w14:paraId="68370B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3D0E0AD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A357F43">
            <w:pPr>
              <w:widowControl/>
              <w:jc w:val="both"/>
              <w:textAlignment w:val="top"/>
              <w:rPr>
                <w:rFonts w:hint="eastAsia" w:ascii="宋体" w:hAnsi="宋体" w:eastAsia="宋体" w:cs="宋体"/>
                <w:sz w:val="18"/>
                <w:szCs w:val="18"/>
              </w:rPr>
            </w:pPr>
          </w:p>
        </w:tc>
      </w:tr>
      <w:tr w14:paraId="7222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3435F72D">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3082" w:type="dxa"/>
            <w:noWrap w:val="0"/>
            <w:vAlign w:val="center"/>
          </w:tcPr>
          <w:p w14:paraId="099FD31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BSaI限制性内切酶</w:t>
            </w:r>
          </w:p>
        </w:tc>
        <w:tc>
          <w:tcPr>
            <w:tcW w:w="3613" w:type="dxa"/>
            <w:noWrap w:val="0"/>
            <w:vAlign w:val="center"/>
          </w:tcPr>
          <w:p w14:paraId="7955BCE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2.经过基因工程重组的快速限制性内切酶，用于质粒 DNA、PCR 产物或基因组 DNA 等的快速酶切。</w:t>
            </w:r>
          </w:p>
        </w:tc>
        <w:tc>
          <w:tcPr>
            <w:tcW w:w="818" w:type="dxa"/>
            <w:noWrap w:val="0"/>
            <w:vAlign w:val="center"/>
          </w:tcPr>
          <w:p w14:paraId="37554AC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19" w:type="dxa"/>
            <w:noWrap w:val="0"/>
            <w:vAlign w:val="center"/>
          </w:tcPr>
          <w:p w14:paraId="1BA4BAD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304467BD">
            <w:pPr>
              <w:widowControl/>
              <w:jc w:val="both"/>
              <w:textAlignment w:val="top"/>
              <w:rPr>
                <w:rFonts w:hint="eastAsia" w:ascii="宋体" w:hAnsi="宋体" w:eastAsia="宋体" w:cs="宋体"/>
                <w:sz w:val="18"/>
                <w:szCs w:val="18"/>
              </w:rPr>
            </w:pPr>
          </w:p>
        </w:tc>
      </w:tr>
      <w:tr w14:paraId="73A2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B1FCF23">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w:t>
            </w:r>
          </w:p>
        </w:tc>
        <w:tc>
          <w:tcPr>
            <w:tcW w:w="3082" w:type="dxa"/>
            <w:noWrap w:val="0"/>
            <w:vAlign w:val="center"/>
          </w:tcPr>
          <w:p w14:paraId="115E662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BamHI限制性内切酶</w:t>
            </w:r>
          </w:p>
        </w:tc>
        <w:tc>
          <w:tcPr>
            <w:tcW w:w="3613" w:type="dxa"/>
            <w:noWrap w:val="0"/>
            <w:vAlign w:val="center"/>
          </w:tcPr>
          <w:p w14:paraId="401A06D3">
            <w:pPr>
              <w:keepNext w:val="0"/>
              <w:keepLines w:val="0"/>
              <w:widowControl/>
              <w:suppressLineNumbers w:val="0"/>
              <w:jc w:val="left"/>
              <w:textAlignment w:val="center"/>
              <w:rPr>
                <w:rFonts w:hint="eastAsia" w:ascii="宋体" w:hAnsi="宋体" w:eastAsia="宋体" w:cs="宋体"/>
                <w:sz w:val="18"/>
                <w:szCs w:val="18"/>
              </w:rPr>
            </w:pPr>
            <w:r>
              <w:rPr>
                <w:rStyle w:val="9"/>
                <w:rFonts w:hint="eastAsia" w:ascii="宋体" w:hAnsi="宋体" w:eastAsia="宋体" w:cs="宋体"/>
                <w:sz w:val="18"/>
                <w:szCs w:val="18"/>
                <w:lang w:val="en-US" w:eastAsia="zh-CN" w:bidi="ar"/>
              </w:rPr>
              <w:t>1.规格：≥2,000 U ；</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2.甲基化的影响：不受dam methylase、dcm methylase和CG methylase的影响；</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3.反应温度：30℃；</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4.活性测定用底物：λ DNA</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5.Star活性：高甘油浓度、Mn</w:t>
            </w:r>
            <w:r>
              <w:rPr>
                <w:rStyle w:val="11"/>
                <w:rFonts w:hint="eastAsia" w:ascii="宋体" w:hAnsi="宋体" w:eastAsia="宋体" w:cs="宋体"/>
                <w:sz w:val="18"/>
                <w:szCs w:val="18"/>
                <w:lang w:val="en-US" w:eastAsia="zh-CN" w:bidi="ar"/>
              </w:rPr>
              <w:t>2+</w:t>
            </w:r>
            <w:r>
              <w:rPr>
                <w:rStyle w:val="9"/>
                <w:rFonts w:hint="eastAsia" w:ascii="宋体" w:hAnsi="宋体" w:eastAsia="宋体" w:cs="宋体"/>
                <w:sz w:val="18"/>
                <w:szCs w:val="18"/>
                <w:lang w:val="en-US" w:eastAsia="zh-CN" w:bidi="ar"/>
              </w:rPr>
              <w:t>存在、低离子强度条件下，识别序列会发生变化。</w:t>
            </w:r>
          </w:p>
        </w:tc>
        <w:tc>
          <w:tcPr>
            <w:tcW w:w="818" w:type="dxa"/>
            <w:noWrap w:val="0"/>
            <w:vAlign w:val="center"/>
          </w:tcPr>
          <w:p w14:paraId="121F8B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袋</w:t>
            </w:r>
          </w:p>
        </w:tc>
        <w:tc>
          <w:tcPr>
            <w:tcW w:w="819" w:type="dxa"/>
            <w:noWrap w:val="0"/>
            <w:vAlign w:val="center"/>
          </w:tcPr>
          <w:p w14:paraId="337889E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590B13A">
            <w:pPr>
              <w:widowControl/>
              <w:jc w:val="both"/>
              <w:textAlignment w:val="top"/>
              <w:rPr>
                <w:rFonts w:hint="eastAsia" w:ascii="宋体" w:hAnsi="宋体" w:eastAsia="宋体" w:cs="宋体"/>
                <w:sz w:val="18"/>
                <w:szCs w:val="18"/>
              </w:rPr>
            </w:pPr>
          </w:p>
        </w:tc>
      </w:tr>
      <w:tr w14:paraId="555A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73B9314C">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w:t>
            </w:r>
          </w:p>
        </w:tc>
        <w:tc>
          <w:tcPr>
            <w:tcW w:w="3082" w:type="dxa"/>
            <w:noWrap w:val="0"/>
            <w:vAlign w:val="center"/>
          </w:tcPr>
          <w:p w14:paraId="4086F7C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XhoI限制性内切酶</w:t>
            </w:r>
          </w:p>
        </w:tc>
        <w:tc>
          <w:tcPr>
            <w:tcW w:w="3613" w:type="dxa"/>
            <w:noWrap w:val="0"/>
            <w:vAlign w:val="center"/>
          </w:tcPr>
          <w:p w14:paraId="4DEBC41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1.规格：≥2,000 U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2.甲基化的影响：不受dam methylase、dcm methylase和CG methylase的影响；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3.反应温度：37℃；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4.活性测定用底物：λ DNA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5.Star活性：高甘油浓度、Mn2+存在、低离子强度条件下，识别序列会发生变化。</w:t>
            </w:r>
          </w:p>
        </w:tc>
        <w:tc>
          <w:tcPr>
            <w:tcW w:w="818" w:type="dxa"/>
            <w:noWrap w:val="0"/>
            <w:vAlign w:val="center"/>
          </w:tcPr>
          <w:p w14:paraId="6EF014F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袋</w:t>
            </w:r>
          </w:p>
        </w:tc>
        <w:tc>
          <w:tcPr>
            <w:tcW w:w="819" w:type="dxa"/>
            <w:noWrap w:val="0"/>
            <w:vAlign w:val="center"/>
          </w:tcPr>
          <w:p w14:paraId="257EADD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1AF94E10">
            <w:pPr>
              <w:widowControl/>
              <w:jc w:val="both"/>
              <w:textAlignment w:val="top"/>
              <w:rPr>
                <w:rFonts w:hint="eastAsia" w:ascii="宋体" w:hAnsi="宋体" w:eastAsia="宋体" w:cs="宋体"/>
                <w:sz w:val="18"/>
                <w:szCs w:val="18"/>
              </w:rPr>
            </w:pPr>
          </w:p>
        </w:tc>
      </w:tr>
      <w:tr w14:paraId="7529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B272F0A">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19</w:t>
            </w:r>
          </w:p>
        </w:tc>
        <w:tc>
          <w:tcPr>
            <w:tcW w:w="3082" w:type="dxa"/>
            <w:noWrap w:val="0"/>
            <w:vAlign w:val="center"/>
          </w:tcPr>
          <w:p w14:paraId="4C08D7A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XbaI限制性内切酶</w:t>
            </w:r>
          </w:p>
        </w:tc>
        <w:tc>
          <w:tcPr>
            <w:tcW w:w="3613" w:type="dxa"/>
            <w:noWrap w:val="0"/>
            <w:vAlign w:val="center"/>
          </w:tcPr>
          <w:p w14:paraId="0A280D7B">
            <w:pPr>
              <w:keepNext w:val="0"/>
              <w:keepLines w:val="0"/>
              <w:widowControl/>
              <w:suppressLineNumbers w:val="0"/>
              <w:jc w:val="left"/>
              <w:textAlignment w:val="center"/>
              <w:rPr>
                <w:rFonts w:hint="eastAsia" w:ascii="宋体" w:hAnsi="宋体" w:eastAsia="宋体" w:cs="宋体"/>
                <w:sz w:val="18"/>
                <w:szCs w:val="18"/>
              </w:rPr>
            </w:pPr>
            <w:r>
              <w:rPr>
                <w:rStyle w:val="9"/>
                <w:rFonts w:hint="eastAsia" w:ascii="宋体" w:hAnsi="宋体" w:eastAsia="宋体" w:cs="宋体"/>
                <w:sz w:val="18"/>
                <w:szCs w:val="18"/>
                <w:lang w:val="en-US" w:eastAsia="zh-CN" w:bidi="ar"/>
              </w:rPr>
              <w:t>1.规格：≥1500 U；</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2.甲基化的影响：不受dam methylase、dcm methylase和CG methylase的影响；</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3.反应温度：30℃；</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4.活性测定用底物：dam-λ DNA</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5.Star活性：高甘油浓度、Mn</w:t>
            </w:r>
            <w:r>
              <w:rPr>
                <w:rStyle w:val="11"/>
                <w:rFonts w:hint="eastAsia" w:ascii="宋体" w:hAnsi="宋体" w:eastAsia="宋体" w:cs="宋体"/>
                <w:sz w:val="18"/>
                <w:szCs w:val="18"/>
                <w:lang w:val="en-US" w:eastAsia="zh-CN" w:bidi="ar"/>
              </w:rPr>
              <w:t>2+</w:t>
            </w:r>
            <w:r>
              <w:rPr>
                <w:rStyle w:val="9"/>
                <w:rFonts w:hint="eastAsia" w:ascii="宋体" w:hAnsi="宋体" w:eastAsia="宋体" w:cs="宋体"/>
                <w:sz w:val="18"/>
                <w:szCs w:val="18"/>
                <w:lang w:val="en-US" w:eastAsia="zh-CN" w:bidi="ar"/>
              </w:rPr>
              <w:t>存在、低离子强度条件下，识别序列会发生变化。</w:t>
            </w:r>
          </w:p>
        </w:tc>
        <w:tc>
          <w:tcPr>
            <w:tcW w:w="818" w:type="dxa"/>
            <w:noWrap w:val="0"/>
            <w:vAlign w:val="center"/>
          </w:tcPr>
          <w:p w14:paraId="64274E9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袋</w:t>
            </w:r>
          </w:p>
        </w:tc>
        <w:tc>
          <w:tcPr>
            <w:tcW w:w="819" w:type="dxa"/>
            <w:noWrap w:val="0"/>
            <w:vAlign w:val="center"/>
          </w:tcPr>
          <w:p w14:paraId="3AA041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450CC104">
            <w:pPr>
              <w:widowControl/>
              <w:jc w:val="both"/>
              <w:textAlignment w:val="top"/>
              <w:rPr>
                <w:rFonts w:hint="eastAsia" w:ascii="宋体" w:hAnsi="宋体" w:eastAsia="宋体" w:cs="宋体"/>
                <w:sz w:val="18"/>
                <w:szCs w:val="18"/>
              </w:rPr>
            </w:pPr>
          </w:p>
        </w:tc>
      </w:tr>
      <w:tr w14:paraId="5F23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7574E8E2">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w:t>
            </w:r>
          </w:p>
        </w:tc>
        <w:tc>
          <w:tcPr>
            <w:tcW w:w="3082" w:type="dxa"/>
            <w:noWrap w:val="0"/>
            <w:vAlign w:val="center"/>
          </w:tcPr>
          <w:p w14:paraId="7B58549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DL5,000 DNA Marker</w:t>
            </w:r>
          </w:p>
        </w:tc>
        <w:tc>
          <w:tcPr>
            <w:tcW w:w="3613" w:type="dxa"/>
            <w:noWrap w:val="0"/>
            <w:vAlign w:val="center"/>
          </w:tcPr>
          <w:p w14:paraId="5AD9CC3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1.规格：≥200μl/管；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2.由5,000 bp、3,000 bp、2,000 bp、1,500 bp、1,000 bp、750 bp、500 bp、250 bp、100 bp共9条双链DNA片段组成；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3.浓度：约550 ng/5μl；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4.-20℃保存。</w:t>
            </w:r>
          </w:p>
        </w:tc>
        <w:tc>
          <w:tcPr>
            <w:tcW w:w="818" w:type="dxa"/>
            <w:noWrap w:val="0"/>
            <w:vAlign w:val="center"/>
          </w:tcPr>
          <w:p w14:paraId="6531E62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管</w:t>
            </w:r>
          </w:p>
        </w:tc>
        <w:tc>
          <w:tcPr>
            <w:tcW w:w="819" w:type="dxa"/>
            <w:noWrap w:val="0"/>
            <w:vAlign w:val="center"/>
          </w:tcPr>
          <w:p w14:paraId="259079F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A5F6535">
            <w:pPr>
              <w:widowControl/>
              <w:jc w:val="both"/>
              <w:textAlignment w:val="top"/>
              <w:rPr>
                <w:rFonts w:hint="eastAsia" w:ascii="宋体" w:hAnsi="宋体" w:eastAsia="宋体" w:cs="宋体"/>
                <w:sz w:val="18"/>
                <w:szCs w:val="18"/>
              </w:rPr>
            </w:pPr>
          </w:p>
        </w:tc>
      </w:tr>
      <w:tr w14:paraId="4874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6445E308">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w:t>
            </w:r>
          </w:p>
        </w:tc>
        <w:tc>
          <w:tcPr>
            <w:tcW w:w="3082" w:type="dxa"/>
            <w:noWrap w:val="0"/>
            <w:vAlign w:val="center"/>
          </w:tcPr>
          <w:p w14:paraId="1C06EAC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DL2,000 DNA Marker</w:t>
            </w:r>
          </w:p>
        </w:tc>
        <w:tc>
          <w:tcPr>
            <w:tcW w:w="3613" w:type="dxa"/>
            <w:noWrap w:val="0"/>
            <w:vAlign w:val="center"/>
          </w:tcPr>
          <w:p w14:paraId="5925E25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1.规格：≥200μl/管；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2.是由2,000 bp、1,000 bp、750 bp、500 bp、250 bp以及100 bp共6条双链DNA片段组成。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3.浓度：约400 ng/5μl；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4.-20℃保存。</w:t>
            </w:r>
          </w:p>
        </w:tc>
        <w:tc>
          <w:tcPr>
            <w:tcW w:w="818" w:type="dxa"/>
            <w:noWrap w:val="0"/>
            <w:vAlign w:val="center"/>
          </w:tcPr>
          <w:p w14:paraId="4466431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管</w:t>
            </w:r>
          </w:p>
        </w:tc>
        <w:tc>
          <w:tcPr>
            <w:tcW w:w="819" w:type="dxa"/>
            <w:noWrap w:val="0"/>
            <w:vAlign w:val="center"/>
          </w:tcPr>
          <w:p w14:paraId="20BC6F0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2C38D373">
            <w:pPr>
              <w:widowControl/>
              <w:jc w:val="both"/>
              <w:textAlignment w:val="top"/>
              <w:rPr>
                <w:rFonts w:hint="eastAsia" w:ascii="宋体" w:hAnsi="宋体" w:eastAsia="宋体" w:cs="宋体"/>
                <w:sz w:val="18"/>
                <w:szCs w:val="18"/>
              </w:rPr>
            </w:pPr>
          </w:p>
        </w:tc>
      </w:tr>
      <w:tr w14:paraId="487E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695AEB3">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w:t>
            </w:r>
          </w:p>
        </w:tc>
        <w:tc>
          <w:tcPr>
            <w:tcW w:w="3082" w:type="dxa"/>
            <w:noWrap w:val="0"/>
            <w:vAlign w:val="center"/>
          </w:tcPr>
          <w:p w14:paraId="62204F3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琼脂糖</w:t>
            </w:r>
          </w:p>
        </w:tc>
        <w:tc>
          <w:tcPr>
            <w:tcW w:w="3613" w:type="dxa"/>
            <w:noWrap w:val="0"/>
            <w:vAlign w:val="center"/>
          </w:tcPr>
          <w:p w14:paraId="0721883B">
            <w:pPr>
              <w:keepNext w:val="0"/>
              <w:keepLines w:val="0"/>
              <w:widowControl/>
              <w:suppressLineNumbers w:val="0"/>
              <w:jc w:val="left"/>
              <w:textAlignment w:val="center"/>
              <w:rPr>
                <w:rFonts w:hint="eastAsia" w:ascii="宋体" w:hAnsi="宋体" w:eastAsia="宋体" w:cs="宋体"/>
                <w:sz w:val="18"/>
                <w:szCs w:val="18"/>
              </w:rPr>
            </w:pPr>
            <w:r>
              <w:rPr>
                <w:rStyle w:val="9"/>
                <w:rFonts w:hint="eastAsia" w:ascii="宋体" w:hAnsi="宋体" w:eastAsia="宋体" w:cs="宋体"/>
                <w:sz w:val="18"/>
                <w:szCs w:val="18"/>
                <w:lang w:val="en-US" w:eastAsia="zh-CN" w:bidi="ar"/>
              </w:rPr>
              <w:t>1.规格：≥100g/瓶；</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2.外观：白色或微黄色粉末；</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3.级别：Gel strength(1% Gel)≥1200g/cm</w:t>
            </w:r>
            <w:r>
              <w:rPr>
                <w:rStyle w:val="11"/>
                <w:rFonts w:hint="eastAsia" w:ascii="宋体" w:hAnsi="宋体" w:eastAsia="宋体" w:cs="宋体"/>
                <w:sz w:val="18"/>
                <w:szCs w:val="18"/>
                <w:lang w:val="en-US" w:eastAsia="zh-CN" w:bidi="ar"/>
              </w:rPr>
              <w:t>2</w:t>
            </w:r>
            <w:r>
              <w:rPr>
                <w:rStyle w:val="9"/>
                <w:rFonts w:hint="eastAsia" w:ascii="宋体" w:hAnsi="宋体" w:eastAsia="宋体" w:cs="宋体"/>
                <w:sz w:val="18"/>
                <w:szCs w:val="18"/>
                <w:lang w:val="en-US" w:eastAsia="zh-CN" w:bidi="ar"/>
              </w:rPr>
              <w:t>，用于电泳；</w:t>
            </w:r>
            <w:r>
              <w:rPr>
                <w:rStyle w:val="9"/>
                <w:rFonts w:hint="eastAsia" w:ascii="宋体" w:hAnsi="宋体" w:eastAsia="宋体" w:cs="宋体"/>
                <w:sz w:val="18"/>
                <w:szCs w:val="18"/>
                <w:lang w:val="en-US" w:eastAsia="zh-CN" w:bidi="ar"/>
              </w:rPr>
              <w:br w:type="textWrapping"/>
            </w:r>
            <w:r>
              <w:rPr>
                <w:rStyle w:val="9"/>
                <w:rFonts w:hint="eastAsia" w:ascii="宋体" w:hAnsi="宋体" w:eastAsia="宋体" w:cs="宋体"/>
                <w:sz w:val="18"/>
                <w:szCs w:val="18"/>
                <w:lang w:val="en-US" w:eastAsia="zh-CN" w:bidi="ar"/>
              </w:rPr>
              <w:t>4.保存在常温(RT)，保质期≥5年。</w:t>
            </w:r>
          </w:p>
        </w:tc>
        <w:tc>
          <w:tcPr>
            <w:tcW w:w="818" w:type="dxa"/>
            <w:noWrap w:val="0"/>
            <w:vAlign w:val="center"/>
          </w:tcPr>
          <w:p w14:paraId="6331138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0C770A0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538E0C34">
            <w:pPr>
              <w:widowControl/>
              <w:jc w:val="both"/>
              <w:textAlignment w:val="top"/>
              <w:rPr>
                <w:rFonts w:hint="eastAsia" w:ascii="宋体" w:hAnsi="宋体" w:eastAsia="宋体" w:cs="宋体"/>
                <w:sz w:val="18"/>
                <w:szCs w:val="18"/>
              </w:rPr>
            </w:pPr>
          </w:p>
        </w:tc>
      </w:tr>
      <w:tr w14:paraId="5DB6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9AEE94C">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w:t>
            </w:r>
          </w:p>
        </w:tc>
        <w:tc>
          <w:tcPr>
            <w:tcW w:w="3082" w:type="dxa"/>
            <w:noWrap w:val="0"/>
            <w:vAlign w:val="center"/>
          </w:tcPr>
          <w:p w14:paraId="4F0A0F1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1×PBS缓冲液(RNase Free)</w:t>
            </w:r>
          </w:p>
        </w:tc>
        <w:tc>
          <w:tcPr>
            <w:tcW w:w="3613" w:type="dxa"/>
            <w:noWrap w:val="0"/>
            <w:vAlign w:val="center"/>
          </w:tcPr>
          <w:p w14:paraId="543A1A6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1.规格：≥500ml/瓶；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2.渗透压:270-320mOsmol/kg；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3.pH7.2-7.4；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4.室温储存，保质期≥1年。</w:t>
            </w:r>
          </w:p>
        </w:tc>
        <w:tc>
          <w:tcPr>
            <w:tcW w:w="818" w:type="dxa"/>
            <w:noWrap w:val="0"/>
            <w:vAlign w:val="center"/>
          </w:tcPr>
          <w:p w14:paraId="06057BA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25752C2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1A6324B6">
            <w:pPr>
              <w:widowControl/>
              <w:jc w:val="both"/>
              <w:textAlignment w:val="top"/>
              <w:rPr>
                <w:rFonts w:hint="eastAsia" w:ascii="宋体" w:hAnsi="宋体" w:eastAsia="宋体" w:cs="宋体"/>
                <w:sz w:val="18"/>
                <w:szCs w:val="18"/>
              </w:rPr>
            </w:pPr>
          </w:p>
        </w:tc>
      </w:tr>
      <w:tr w14:paraId="4C04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3EAAAB5">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w:t>
            </w:r>
          </w:p>
        </w:tc>
        <w:tc>
          <w:tcPr>
            <w:tcW w:w="3082" w:type="dxa"/>
            <w:noWrap w:val="0"/>
            <w:vAlign w:val="center"/>
          </w:tcPr>
          <w:p w14:paraId="7E12C57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auto"/>
                <w:kern w:val="0"/>
                <w:sz w:val="18"/>
                <w:szCs w:val="18"/>
                <w:u w:val="none"/>
                <w:lang w:val="en-US" w:eastAsia="zh-CN" w:bidi="ar"/>
              </w:rPr>
              <w:fldChar w:fldCharType="begin"/>
            </w:r>
            <w:r>
              <w:rPr>
                <w:rFonts w:hint="eastAsia" w:ascii="宋体" w:hAnsi="宋体" w:eastAsia="宋体" w:cs="宋体"/>
                <w:i w:val="0"/>
                <w:iCs w:val="0"/>
                <w:color w:val="auto"/>
                <w:kern w:val="0"/>
                <w:sz w:val="18"/>
                <w:szCs w:val="18"/>
                <w:u w:val="none"/>
                <w:lang w:val="en-US" w:eastAsia="zh-CN" w:bidi="ar"/>
              </w:rPr>
              <w:instrText xml:space="preserve"> HYPERLINK "https://www.solarbio.com/goodsInfo?id=1085" \o "https://www.solarbio.com/goodsInfo?id=1085" </w:instrText>
            </w:r>
            <w:r>
              <w:rPr>
                <w:rFonts w:hint="eastAsia" w:ascii="宋体" w:hAnsi="宋体" w:eastAsia="宋体" w:cs="宋体"/>
                <w:i w:val="0"/>
                <w:iCs w:val="0"/>
                <w:color w:val="auto"/>
                <w:kern w:val="0"/>
                <w:sz w:val="18"/>
                <w:szCs w:val="18"/>
                <w:u w:val="none"/>
                <w:lang w:val="en-US" w:eastAsia="zh-CN" w:bidi="ar"/>
              </w:rPr>
              <w:fldChar w:fldCharType="separate"/>
            </w:r>
            <w:r>
              <w:rPr>
                <w:rStyle w:val="7"/>
                <w:rFonts w:hint="eastAsia" w:ascii="宋体" w:hAnsi="宋体" w:eastAsia="宋体" w:cs="宋体"/>
                <w:i w:val="0"/>
                <w:iCs w:val="0"/>
                <w:color w:val="auto"/>
                <w:sz w:val="18"/>
                <w:szCs w:val="18"/>
                <w:u w:val="none"/>
              </w:rPr>
              <w:t>无酶无菌水</w:t>
            </w:r>
            <w:r>
              <w:rPr>
                <w:rFonts w:hint="eastAsia" w:ascii="宋体" w:hAnsi="宋体" w:eastAsia="宋体" w:cs="宋体"/>
                <w:i w:val="0"/>
                <w:iCs w:val="0"/>
                <w:color w:val="auto"/>
                <w:kern w:val="0"/>
                <w:sz w:val="18"/>
                <w:szCs w:val="18"/>
                <w:u w:val="none"/>
                <w:lang w:val="en-US" w:eastAsia="zh-CN" w:bidi="ar"/>
              </w:rPr>
              <w:fldChar w:fldCharType="end"/>
            </w:r>
          </w:p>
        </w:tc>
        <w:tc>
          <w:tcPr>
            <w:tcW w:w="3613" w:type="dxa"/>
            <w:noWrap w:val="0"/>
            <w:vAlign w:val="center"/>
          </w:tcPr>
          <w:p w14:paraId="0FE4E28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1.规格：≥100g/瓶；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2.用超纯的去离子水经DEPC处理后，再经过高压灭菌而来；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3.无核酸酶和蛋白酶活性；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4.保存在常温(RT)，保质期≥1年。</w:t>
            </w:r>
          </w:p>
        </w:tc>
        <w:tc>
          <w:tcPr>
            <w:tcW w:w="818" w:type="dxa"/>
            <w:noWrap w:val="0"/>
            <w:vAlign w:val="center"/>
          </w:tcPr>
          <w:p w14:paraId="025ED64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3987761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091EE35F">
            <w:pPr>
              <w:widowControl/>
              <w:jc w:val="both"/>
              <w:textAlignment w:val="top"/>
              <w:rPr>
                <w:rFonts w:hint="eastAsia" w:ascii="宋体" w:hAnsi="宋体" w:eastAsia="宋体" w:cs="宋体"/>
                <w:sz w:val="18"/>
                <w:szCs w:val="18"/>
              </w:rPr>
            </w:pPr>
          </w:p>
        </w:tc>
      </w:tr>
      <w:tr w14:paraId="1299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8412CFA">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w:t>
            </w:r>
          </w:p>
        </w:tc>
        <w:tc>
          <w:tcPr>
            <w:tcW w:w="3082" w:type="dxa"/>
            <w:noWrap w:val="0"/>
            <w:vAlign w:val="center"/>
          </w:tcPr>
          <w:p w14:paraId="21CD8CD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50×TAE 缓冲液</w:t>
            </w:r>
          </w:p>
        </w:tc>
        <w:tc>
          <w:tcPr>
            <w:tcW w:w="3613" w:type="dxa"/>
            <w:noWrap w:val="0"/>
            <w:vAlign w:val="center"/>
          </w:tcPr>
          <w:p w14:paraId="1A82322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2.无色液体；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3.保存在常温(RT)，保质期≥2年。</w:t>
            </w:r>
          </w:p>
        </w:tc>
        <w:tc>
          <w:tcPr>
            <w:tcW w:w="818" w:type="dxa"/>
            <w:noWrap w:val="0"/>
            <w:vAlign w:val="center"/>
          </w:tcPr>
          <w:p w14:paraId="78991B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3A89DD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6A4F993D">
            <w:pPr>
              <w:widowControl/>
              <w:jc w:val="both"/>
              <w:textAlignment w:val="top"/>
              <w:rPr>
                <w:rFonts w:hint="eastAsia" w:ascii="宋体" w:hAnsi="宋体" w:eastAsia="宋体" w:cs="宋体"/>
                <w:sz w:val="18"/>
                <w:szCs w:val="18"/>
              </w:rPr>
            </w:pPr>
          </w:p>
        </w:tc>
      </w:tr>
      <w:tr w14:paraId="1C63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4CC0C6B">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w:t>
            </w:r>
          </w:p>
        </w:tc>
        <w:tc>
          <w:tcPr>
            <w:tcW w:w="3082" w:type="dxa"/>
            <w:noWrap w:val="0"/>
            <w:vAlign w:val="center"/>
          </w:tcPr>
          <w:p w14:paraId="5B89C3A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6×Loading Buffer</w:t>
            </w:r>
          </w:p>
        </w:tc>
        <w:tc>
          <w:tcPr>
            <w:tcW w:w="3613" w:type="dxa"/>
            <w:noWrap w:val="0"/>
            <w:vAlign w:val="center"/>
          </w:tcPr>
          <w:p w14:paraId="39F86E4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1.规格：≥1ml×10 支/袋；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2.琼脂糖凝胶电泳用的Loading Buffer。</w:t>
            </w:r>
          </w:p>
        </w:tc>
        <w:tc>
          <w:tcPr>
            <w:tcW w:w="818" w:type="dxa"/>
            <w:noWrap w:val="0"/>
            <w:vAlign w:val="center"/>
          </w:tcPr>
          <w:p w14:paraId="11AB423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袋</w:t>
            </w:r>
          </w:p>
        </w:tc>
        <w:tc>
          <w:tcPr>
            <w:tcW w:w="819" w:type="dxa"/>
            <w:noWrap w:val="0"/>
            <w:vAlign w:val="center"/>
          </w:tcPr>
          <w:p w14:paraId="0BAB47D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252C22A9">
            <w:pPr>
              <w:widowControl/>
              <w:jc w:val="both"/>
              <w:textAlignment w:val="top"/>
              <w:rPr>
                <w:rFonts w:hint="eastAsia" w:ascii="宋体" w:hAnsi="宋体" w:eastAsia="宋体" w:cs="宋体"/>
                <w:sz w:val="18"/>
                <w:szCs w:val="18"/>
              </w:rPr>
            </w:pPr>
          </w:p>
        </w:tc>
      </w:tr>
      <w:tr w14:paraId="60F2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719365A">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27</w:t>
            </w:r>
          </w:p>
        </w:tc>
        <w:tc>
          <w:tcPr>
            <w:tcW w:w="3082" w:type="dxa"/>
            <w:noWrap w:val="0"/>
            <w:vAlign w:val="center"/>
          </w:tcPr>
          <w:p w14:paraId="5751F3F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GeneRed核酸染料</w:t>
            </w:r>
          </w:p>
        </w:tc>
        <w:tc>
          <w:tcPr>
            <w:tcW w:w="3613" w:type="dxa"/>
            <w:noWrap w:val="0"/>
            <w:vAlign w:val="center"/>
          </w:tcPr>
          <w:p w14:paraId="301287E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1.规格：≥500μl/个；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2.其原理是油性大分子，不易挥发，不能穿透细胞膜进入细胞内；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3.该产品适用于各种大小片段的电泳染色，对核酸迁移的影响较小，具有高热稳定性，适用于使用微波或其它加热方法制备琼脂糖凝胶。</w:t>
            </w:r>
          </w:p>
        </w:tc>
        <w:tc>
          <w:tcPr>
            <w:tcW w:w="818" w:type="dxa"/>
            <w:noWrap w:val="0"/>
            <w:vAlign w:val="center"/>
          </w:tcPr>
          <w:p w14:paraId="600224F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19" w:type="dxa"/>
            <w:noWrap w:val="0"/>
            <w:vAlign w:val="center"/>
          </w:tcPr>
          <w:p w14:paraId="02B5AB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25F2BC55">
            <w:pPr>
              <w:widowControl/>
              <w:jc w:val="both"/>
              <w:textAlignment w:val="top"/>
              <w:rPr>
                <w:rFonts w:hint="eastAsia" w:ascii="宋体" w:hAnsi="宋体" w:eastAsia="宋体" w:cs="宋体"/>
                <w:sz w:val="18"/>
                <w:szCs w:val="18"/>
              </w:rPr>
            </w:pPr>
          </w:p>
        </w:tc>
      </w:tr>
      <w:tr w14:paraId="7DAD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420C50D">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w:t>
            </w:r>
          </w:p>
        </w:tc>
        <w:tc>
          <w:tcPr>
            <w:tcW w:w="3082" w:type="dxa"/>
            <w:noWrap w:val="0"/>
            <w:vAlign w:val="center"/>
          </w:tcPr>
          <w:p w14:paraId="1EA5D17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营养琼脂培养基</w:t>
            </w:r>
          </w:p>
        </w:tc>
        <w:tc>
          <w:tcPr>
            <w:tcW w:w="3613" w:type="dxa"/>
            <w:noWrap w:val="0"/>
            <w:vAlign w:val="center"/>
          </w:tcPr>
          <w:p w14:paraId="2FF653B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1.规格：≥250g/瓶；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2.用途：供细菌总数测定、保存菌种及纯培养用。</w:t>
            </w:r>
          </w:p>
        </w:tc>
        <w:tc>
          <w:tcPr>
            <w:tcW w:w="818" w:type="dxa"/>
            <w:noWrap w:val="0"/>
            <w:vAlign w:val="center"/>
          </w:tcPr>
          <w:p w14:paraId="7E91F22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1C293B1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6F9DE24">
            <w:pPr>
              <w:widowControl/>
              <w:jc w:val="both"/>
              <w:textAlignment w:val="top"/>
              <w:rPr>
                <w:rFonts w:hint="eastAsia" w:ascii="宋体" w:hAnsi="宋体" w:eastAsia="宋体" w:cs="宋体"/>
                <w:sz w:val="18"/>
                <w:szCs w:val="18"/>
              </w:rPr>
            </w:pPr>
          </w:p>
        </w:tc>
      </w:tr>
      <w:tr w14:paraId="5AB2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6C4C753F">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29</w:t>
            </w:r>
          </w:p>
        </w:tc>
        <w:tc>
          <w:tcPr>
            <w:tcW w:w="3082" w:type="dxa"/>
            <w:noWrap w:val="0"/>
            <w:vAlign w:val="center"/>
          </w:tcPr>
          <w:p w14:paraId="7626A82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胰酪大豆胨液体培养基(TSB)(中国药典)</w:t>
            </w:r>
          </w:p>
        </w:tc>
        <w:tc>
          <w:tcPr>
            <w:tcW w:w="3613" w:type="dxa"/>
            <w:noWrap w:val="0"/>
            <w:vAlign w:val="center"/>
          </w:tcPr>
          <w:p w14:paraId="449AF4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1.规格：≥250g/瓶；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2.用途：用于药品及生物制品的无菌测试及药品微生物限度检查中供试品的稀释或增菌（ChP、USP、EP）。</w:t>
            </w:r>
          </w:p>
        </w:tc>
        <w:tc>
          <w:tcPr>
            <w:tcW w:w="818" w:type="dxa"/>
            <w:noWrap w:val="0"/>
            <w:vAlign w:val="center"/>
          </w:tcPr>
          <w:p w14:paraId="0260955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7DC91BA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3E9C27EA">
            <w:pPr>
              <w:widowControl/>
              <w:jc w:val="both"/>
              <w:textAlignment w:val="top"/>
              <w:rPr>
                <w:rFonts w:hint="eastAsia" w:ascii="宋体" w:hAnsi="宋体" w:eastAsia="宋体" w:cs="宋体"/>
                <w:sz w:val="18"/>
                <w:szCs w:val="18"/>
              </w:rPr>
            </w:pPr>
          </w:p>
        </w:tc>
      </w:tr>
      <w:tr w14:paraId="18C8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72705483">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30</w:t>
            </w:r>
          </w:p>
        </w:tc>
        <w:tc>
          <w:tcPr>
            <w:tcW w:w="3082" w:type="dxa"/>
            <w:noWrap w:val="0"/>
            <w:vAlign w:val="center"/>
          </w:tcPr>
          <w:p w14:paraId="40E57B6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胰酪大豆胨琼脂培养基(大豆酪蛋白琼脂培养基)TSA</w:t>
            </w:r>
          </w:p>
        </w:tc>
        <w:tc>
          <w:tcPr>
            <w:tcW w:w="3613" w:type="dxa"/>
            <w:noWrap w:val="0"/>
            <w:vAlign w:val="center"/>
          </w:tcPr>
          <w:p w14:paraId="3DA13E0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1.规格：≥250g/瓶；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2.用途：可广泛应用于细菌的培养（中国药典）。</w:t>
            </w:r>
          </w:p>
        </w:tc>
        <w:tc>
          <w:tcPr>
            <w:tcW w:w="818" w:type="dxa"/>
            <w:noWrap w:val="0"/>
            <w:vAlign w:val="center"/>
          </w:tcPr>
          <w:p w14:paraId="0514580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76A9CE5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6F0C4CEF">
            <w:pPr>
              <w:widowControl/>
              <w:jc w:val="both"/>
              <w:textAlignment w:val="top"/>
              <w:rPr>
                <w:rFonts w:hint="eastAsia" w:ascii="宋体" w:hAnsi="宋体" w:eastAsia="宋体" w:cs="宋体"/>
                <w:sz w:val="18"/>
                <w:szCs w:val="18"/>
              </w:rPr>
            </w:pPr>
          </w:p>
        </w:tc>
      </w:tr>
      <w:tr w14:paraId="1C2A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D8B557D">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w:t>
            </w:r>
          </w:p>
        </w:tc>
        <w:tc>
          <w:tcPr>
            <w:tcW w:w="3082" w:type="dxa"/>
            <w:noWrap w:val="0"/>
            <w:vAlign w:val="center"/>
          </w:tcPr>
          <w:p w14:paraId="6341D34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LB琼脂培养基</w:t>
            </w:r>
          </w:p>
        </w:tc>
        <w:tc>
          <w:tcPr>
            <w:tcW w:w="3613" w:type="dxa"/>
            <w:noWrap w:val="0"/>
            <w:vAlign w:val="center"/>
          </w:tcPr>
          <w:p w14:paraId="3B7C554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1.规格：≥250g/瓶；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2.用途：用于药品及生物制品的无菌测试及药品微生物限度检查中供试品的稀释或增菌（ChP、USP、EP）。</w:t>
            </w:r>
          </w:p>
        </w:tc>
        <w:tc>
          <w:tcPr>
            <w:tcW w:w="818" w:type="dxa"/>
            <w:noWrap w:val="0"/>
            <w:vAlign w:val="center"/>
          </w:tcPr>
          <w:p w14:paraId="0CE2329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3FEF74A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23D845DA">
            <w:pPr>
              <w:widowControl/>
              <w:jc w:val="both"/>
              <w:textAlignment w:val="top"/>
              <w:rPr>
                <w:rFonts w:hint="eastAsia" w:ascii="宋体" w:hAnsi="宋体" w:eastAsia="宋体" w:cs="宋体"/>
                <w:sz w:val="18"/>
                <w:szCs w:val="18"/>
              </w:rPr>
            </w:pPr>
          </w:p>
        </w:tc>
      </w:tr>
      <w:tr w14:paraId="6C7A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EF92BFE">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3082" w:type="dxa"/>
            <w:noWrap w:val="0"/>
            <w:vAlign w:val="center"/>
          </w:tcPr>
          <w:p w14:paraId="06A0066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结晶紫染色液(1%)</w:t>
            </w:r>
          </w:p>
        </w:tc>
        <w:tc>
          <w:tcPr>
            <w:tcW w:w="3613" w:type="dxa"/>
            <w:noWrap w:val="0"/>
            <w:vAlign w:val="center"/>
          </w:tcPr>
          <w:p w14:paraId="47D5C0B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1.规格：≥500ml/瓶；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2.冷藏运输；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3.保存在2-8℃，保质期≥1年。</w:t>
            </w:r>
          </w:p>
        </w:tc>
        <w:tc>
          <w:tcPr>
            <w:tcW w:w="818" w:type="dxa"/>
            <w:noWrap w:val="0"/>
            <w:vAlign w:val="center"/>
          </w:tcPr>
          <w:p w14:paraId="729804C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406BE04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6CEC2069">
            <w:pPr>
              <w:widowControl/>
              <w:jc w:val="both"/>
              <w:textAlignment w:val="top"/>
              <w:rPr>
                <w:rFonts w:hint="eastAsia" w:ascii="宋体" w:hAnsi="宋体" w:eastAsia="宋体" w:cs="宋体"/>
                <w:sz w:val="18"/>
                <w:szCs w:val="18"/>
              </w:rPr>
            </w:pPr>
          </w:p>
        </w:tc>
      </w:tr>
      <w:tr w14:paraId="3131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2A9A5F46">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33</w:t>
            </w:r>
          </w:p>
        </w:tc>
        <w:tc>
          <w:tcPr>
            <w:tcW w:w="3082" w:type="dxa"/>
            <w:noWrap w:val="0"/>
            <w:vAlign w:val="center"/>
          </w:tcPr>
          <w:p w14:paraId="4CC46B0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一步法除基因组 cDNA 第一链合成预混试剂</w:t>
            </w:r>
          </w:p>
        </w:tc>
        <w:tc>
          <w:tcPr>
            <w:tcW w:w="3613" w:type="dxa"/>
            <w:noWrap w:val="0"/>
            <w:vAlign w:val="center"/>
          </w:tcPr>
          <w:p w14:paraId="09CDD73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1.规格：≥25次/盒；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2.gDNA 去除：一步法整合去 gDNA + 反转录，全程仅 18 min，反转录效率：&gt;95%，灵敏度：低至 1 ng Total RNA，体系：2× 预混液，操作极简，下游：普通 PCR、qPCR；</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3.储存：-20℃，≥1 年。</w:t>
            </w:r>
          </w:p>
        </w:tc>
        <w:tc>
          <w:tcPr>
            <w:tcW w:w="818" w:type="dxa"/>
            <w:noWrap w:val="0"/>
            <w:vAlign w:val="center"/>
          </w:tcPr>
          <w:p w14:paraId="7277703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盒</w:t>
            </w:r>
          </w:p>
        </w:tc>
        <w:tc>
          <w:tcPr>
            <w:tcW w:w="819" w:type="dxa"/>
            <w:noWrap w:val="0"/>
            <w:vAlign w:val="center"/>
          </w:tcPr>
          <w:p w14:paraId="152A91F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246204B0">
            <w:pPr>
              <w:widowControl/>
              <w:jc w:val="both"/>
              <w:textAlignment w:val="top"/>
              <w:rPr>
                <w:rFonts w:hint="eastAsia" w:ascii="宋体" w:hAnsi="宋体" w:eastAsia="宋体" w:cs="宋体"/>
                <w:sz w:val="18"/>
                <w:szCs w:val="18"/>
              </w:rPr>
            </w:pPr>
          </w:p>
        </w:tc>
      </w:tr>
      <w:tr w14:paraId="0741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9787850">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34</w:t>
            </w:r>
          </w:p>
        </w:tc>
        <w:tc>
          <w:tcPr>
            <w:tcW w:w="3082" w:type="dxa"/>
            <w:noWrap w:val="0"/>
            <w:vAlign w:val="center"/>
          </w:tcPr>
          <w:p w14:paraId="70DF511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蔗糖</w:t>
            </w:r>
          </w:p>
        </w:tc>
        <w:tc>
          <w:tcPr>
            <w:tcW w:w="3613" w:type="dxa"/>
            <w:noWrap w:val="0"/>
            <w:vAlign w:val="center"/>
          </w:tcPr>
          <w:p w14:paraId="1A90FE1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1.规格：≥250g；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2.纯度：≥99% GC。</w:t>
            </w:r>
          </w:p>
        </w:tc>
        <w:tc>
          <w:tcPr>
            <w:tcW w:w="818" w:type="dxa"/>
            <w:noWrap w:val="0"/>
            <w:vAlign w:val="center"/>
          </w:tcPr>
          <w:p w14:paraId="0873F81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瓶</w:t>
            </w:r>
          </w:p>
        </w:tc>
        <w:tc>
          <w:tcPr>
            <w:tcW w:w="819" w:type="dxa"/>
            <w:noWrap w:val="0"/>
            <w:vAlign w:val="center"/>
          </w:tcPr>
          <w:p w14:paraId="3DAE97C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w:t>
            </w:r>
          </w:p>
        </w:tc>
        <w:tc>
          <w:tcPr>
            <w:tcW w:w="1513" w:type="dxa"/>
            <w:vMerge w:val="continue"/>
            <w:noWrap w:val="0"/>
            <w:vAlign w:val="center"/>
          </w:tcPr>
          <w:p w14:paraId="24075AFE">
            <w:pPr>
              <w:widowControl/>
              <w:jc w:val="both"/>
              <w:textAlignment w:val="top"/>
              <w:rPr>
                <w:rFonts w:hint="eastAsia" w:ascii="宋体" w:hAnsi="宋体" w:eastAsia="宋体" w:cs="宋体"/>
                <w:sz w:val="18"/>
                <w:szCs w:val="18"/>
              </w:rPr>
            </w:pPr>
          </w:p>
        </w:tc>
      </w:tr>
      <w:tr w14:paraId="003D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1B6EF11">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35</w:t>
            </w:r>
          </w:p>
        </w:tc>
        <w:tc>
          <w:tcPr>
            <w:tcW w:w="3082" w:type="dxa"/>
            <w:noWrap w:val="0"/>
            <w:vAlign w:val="center"/>
          </w:tcPr>
          <w:p w14:paraId="1634C9C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pSGKP-km</w:t>
            </w:r>
          </w:p>
        </w:tc>
        <w:tc>
          <w:tcPr>
            <w:tcW w:w="3613" w:type="dxa"/>
            <w:noWrap w:val="0"/>
            <w:vAlign w:val="center"/>
          </w:tcPr>
          <w:p w14:paraId="282A389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1.规格：质粒≥100ug；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2.高拷贝数；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3.启动子J23119；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4原核抗性：KAN；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5.保存条件：-20℃长期保存；短期使用可置于4℃。</w:t>
            </w:r>
          </w:p>
        </w:tc>
        <w:tc>
          <w:tcPr>
            <w:tcW w:w="818" w:type="dxa"/>
            <w:noWrap w:val="0"/>
            <w:vAlign w:val="center"/>
          </w:tcPr>
          <w:p w14:paraId="33EF02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管</w:t>
            </w:r>
          </w:p>
        </w:tc>
        <w:tc>
          <w:tcPr>
            <w:tcW w:w="819" w:type="dxa"/>
            <w:noWrap w:val="0"/>
            <w:vAlign w:val="center"/>
          </w:tcPr>
          <w:p w14:paraId="1DEFC41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0730C529">
            <w:pPr>
              <w:widowControl/>
              <w:jc w:val="both"/>
              <w:textAlignment w:val="top"/>
              <w:rPr>
                <w:rFonts w:hint="eastAsia" w:ascii="宋体" w:hAnsi="宋体" w:eastAsia="宋体" w:cs="宋体"/>
                <w:sz w:val="18"/>
                <w:szCs w:val="18"/>
              </w:rPr>
            </w:pPr>
          </w:p>
        </w:tc>
      </w:tr>
      <w:tr w14:paraId="6611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1B8C1C4B">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w:t>
            </w:r>
          </w:p>
        </w:tc>
        <w:tc>
          <w:tcPr>
            <w:tcW w:w="3082" w:type="dxa"/>
            <w:noWrap w:val="0"/>
            <w:vAlign w:val="center"/>
          </w:tcPr>
          <w:p w14:paraId="3341A84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pCasKP-apr</w:t>
            </w:r>
          </w:p>
        </w:tc>
        <w:tc>
          <w:tcPr>
            <w:tcW w:w="3613" w:type="dxa"/>
            <w:noWrap w:val="0"/>
            <w:vAlign w:val="center"/>
          </w:tcPr>
          <w:p w14:paraId="2544157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1.规格：质粒≥100ug；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2.高拷贝数；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3.启动子：araBAD；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4.原核抗性：Apr；</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5.复制子：pSC101；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6.保存条件：-20℃长期保存；短期使用可置于4℃。</w:t>
            </w:r>
          </w:p>
        </w:tc>
        <w:tc>
          <w:tcPr>
            <w:tcW w:w="818" w:type="dxa"/>
            <w:noWrap w:val="0"/>
            <w:vAlign w:val="center"/>
          </w:tcPr>
          <w:p w14:paraId="369A882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管</w:t>
            </w:r>
          </w:p>
        </w:tc>
        <w:tc>
          <w:tcPr>
            <w:tcW w:w="819" w:type="dxa"/>
            <w:noWrap w:val="0"/>
            <w:vAlign w:val="center"/>
          </w:tcPr>
          <w:p w14:paraId="1F41991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4CB030AF">
            <w:pPr>
              <w:widowControl/>
              <w:jc w:val="both"/>
              <w:textAlignment w:val="top"/>
              <w:rPr>
                <w:rFonts w:hint="eastAsia" w:ascii="宋体" w:hAnsi="宋体" w:eastAsia="宋体" w:cs="宋体"/>
                <w:sz w:val="18"/>
                <w:szCs w:val="18"/>
              </w:rPr>
            </w:pPr>
          </w:p>
        </w:tc>
      </w:tr>
      <w:tr w14:paraId="1808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18" w:type="dxa"/>
            <w:noWrap w:val="0"/>
            <w:vAlign w:val="center"/>
          </w:tcPr>
          <w:p w14:paraId="0DFD03E1">
            <w:pPr>
              <w:adjustRightInd w:val="0"/>
              <w:snapToGrid w:val="0"/>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37</w:t>
            </w:r>
          </w:p>
        </w:tc>
        <w:tc>
          <w:tcPr>
            <w:tcW w:w="3082" w:type="dxa"/>
            <w:noWrap w:val="0"/>
            <w:vAlign w:val="center"/>
          </w:tcPr>
          <w:p w14:paraId="5D5DF57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pEcCas-2.0载体</w:t>
            </w:r>
          </w:p>
        </w:tc>
        <w:tc>
          <w:tcPr>
            <w:tcW w:w="3613" w:type="dxa"/>
            <w:noWrap w:val="0"/>
            <w:vAlign w:val="center"/>
          </w:tcPr>
          <w:p w14:paraId="0E8F59A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1.规格：质粒≥2μg；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2.高拷贝数；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3.插入基因：Cas9 和Lamda Red system、CRISPR-associated protein Csn1；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4.载体类型：表达载体；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5.保存条件：-20℃长期保存；短期使用可置于4℃。</w:t>
            </w:r>
          </w:p>
        </w:tc>
        <w:tc>
          <w:tcPr>
            <w:tcW w:w="818" w:type="dxa"/>
            <w:noWrap w:val="0"/>
            <w:vAlign w:val="center"/>
          </w:tcPr>
          <w:p w14:paraId="1EDD6D7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管</w:t>
            </w:r>
          </w:p>
        </w:tc>
        <w:tc>
          <w:tcPr>
            <w:tcW w:w="819" w:type="dxa"/>
            <w:noWrap w:val="0"/>
            <w:vAlign w:val="center"/>
          </w:tcPr>
          <w:p w14:paraId="5C9531D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1513" w:type="dxa"/>
            <w:vMerge w:val="continue"/>
            <w:noWrap w:val="0"/>
            <w:vAlign w:val="center"/>
          </w:tcPr>
          <w:p w14:paraId="7F2CE00D">
            <w:pPr>
              <w:widowControl/>
              <w:jc w:val="center"/>
              <w:textAlignment w:val="top"/>
              <w:rPr>
                <w:rFonts w:hint="eastAsia" w:ascii="宋体" w:hAnsi="宋体" w:eastAsia="宋体" w:cs="宋体"/>
                <w:sz w:val="18"/>
                <w:szCs w:val="18"/>
              </w:rPr>
            </w:pPr>
          </w:p>
        </w:tc>
      </w:tr>
    </w:tbl>
    <w:p w14:paraId="4548B003">
      <w:pPr>
        <w:rPr>
          <w:rFonts w:hint="eastAsia"/>
          <w:lang w:val="en-US" w:eastAsia="zh-CN"/>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857CD"/>
    <w:rsid w:val="08F63846"/>
    <w:rsid w:val="1823409A"/>
    <w:rsid w:val="20117F78"/>
    <w:rsid w:val="38D14A20"/>
    <w:rsid w:val="405D772B"/>
    <w:rsid w:val="41923405"/>
    <w:rsid w:val="44B13560"/>
    <w:rsid w:val="5EE03555"/>
    <w:rsid w:val="69E857CD"/>
    <w:rsid w:val="6BC23625"/>
    <w:rsid w:val="7CB74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宋体" w:hAnsi="宋体"/>
      <w:sz w:val="24"/>
    </w:rPr>
  </w:style>
  <w:style w:type="paragraph" w:styleId="3">
    <w:name w:val="Body Text"/>
    <w:basedOn w:val="1"/>
    <w:next w:val="1"/>
    <w:qFormat/>
    <w:uiPriority w:val="0"/>
    <w:pPr>
      <w:spacing w:after="120"/>
    </w:pPr>
  </w:style>
  <w:style w:type="character" w:styleId="7">
    <w:name w:val="Hyperlink"/>
    <w:basedOn w:val="6"/>
    <w:uiPriority w:val="0"/>
    <w:rPr>
      <w:color w:val="0000FF"/>
      <w:u w:val="single"/>
    </w:rPr>
  </w:style>
  <w:style w:type="character" w:customStyle="1" w:styleId="8">
    <w:name w:val="font21"/>
    <w:qFormat/>
    <w:uiPriority w:val="0"/>
    <w:rPr>
      <w:rFonts w:hint="eastAsia" w:ascii="仿宋" w:hAnsi="仿宋" w:eastAsia="仿宋" w:cs="仿宋"/>
      <w:color w:val="000000"/>
      <w:sz w:val="18"/>
      <w:szCs w:val="18"/>
      <w:u w:val="none"/>
    </w:rPr>
  </w:style>
  <w:style w:type="character" w:customStyle="1" w:styleId="9">
    <w:name w:val="font31"/>
    <w:basedOn w:val="6"/>
    <w:uiPriority w:val="0"/>
    <w:rPr>
      <w:rFonts w:hint="eastAsia" w:ascii="宋体" w:hAnsi="宋体" w:eastAsia="宋体" w:cs="宋体"/>
      <w:color w:val="000000"/>
      <w:sz w:val="20"/>
      <w:szCs w:val="20"/>
      <w:u w:val="none"/>
    </w:rPr>
  </w:style>
  <w:style w:type="character" w:customStyle="1" w:styleId="10">
    <w:name w:val="font41"/>
    <w:basedOn w:val="6"/>
    <w:uiPriority w:val="0"/>
    <w:rPr>
      <w:rFonts w:hint="default" w:ascii="Times New Roman" w:hAnsi="Times New Roman" w:cs="Times New Roman"/>
      <w:color w:val="000000"/>
      <w:sz w:val="20"/>
      <w:szCs w:val="20"/>
      <w:u w:val="none"/>
    </w:rPr>
  </w:style>
  <w:style w:type="character" w:customStyle="1" w:styleId="11">
    <w:name w:val="font51"/>
    <w:basedOn w:val="6"/>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Words>
  <Characters>28</Characters>
  <Lines>0</Lines>
  <Paragraphs>0</Paragraphs>
  <TotalTime>2</TotalTime>
  <ScaleCrop>false</ScaleCrop>
  <LinksUpToDate>false</LinksUpToDate>
  <CharactersWithSpaces>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2025-05-14T08:16:00Z</dcterms:created>
  <dc:creator>灿</dc:creator>
  <cp:lastModifiedBy>点儿叮</cp:lastModifiedBy>
  <dcterms:modified xsi:type="dcterms:W3CDTF">2026-07-28T01:54:44Z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F30C42B548BC4FEC8014144133D0E41F_11</vt:lpwstr>
  </property>
  <property fmtid="{D5CDD505-2E9C-101B-9397-08002B2CF9AE}" pid="4" name="KSOTemplateDocerSaveRecord">
    <vt:lpwstr>eyJoZGlkIjoiYzQ3YTY2Y2NlNzI0OGRiYjFlZDJjYWZiYTlkZTRlZjQiLCJ1c2VySWQiOiI2MDQ4NjExMzcifQ==</vt:lpwstr>
  </property>
</Properties>
</file>